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270E" w:rsidRPr="000504B6" w:rsidRDefault="00E1270E">
      <w:pPr>
        <w:spacing w:before="1"/>
        <w:rPr>
          <w:rFonts w:ascii="Times New Roman" w:eastAsia="Times New Roman" w:hAnsi="Times New Roman" w:cs="Times New Roman"/>
          <w:sz w:val="7"/>
          <w:szCs w:val="7"/>
        </w:rPr>
      </w:pPr>
    </w:p>
    <w:tbl>
      <w:tblPr>
        <w:tblStyle w:val="TableNormal"/>
        <w:tblW w:w="0" w:type="auto"/>
        <w:tblInd w:w="132" w:type="dxa"/>
        <w:tblLayout w:type="fixed"/>
        <w:tblLook w:val="01E0" w:firstRow="1" w:lastRow="1" w:firstColumn="1" w:lastColumn="1" w:noHBand="0" w:noVBand="0"/>
      </w:tblPr>
      <w:tblGrid>
        <w:gridCol w:w="5999"/>
        <w:gridCol w:w="3641"/>
      </w:tblGrid>
      <w:tr w:rsidR="00E1270E" w:rsidRPr="000504B6" w:rsidTr="0076591C">
        <w:trPr>
          <w:trHeight w:hRule="exact" w:val="435"/>
        </w:trPr>
        <w:tc>
          <w:tcPr>
            <w:tcW w:w="5999" w:type="dxa"/>
            <w:tcBorders>
              <w:top w:val="nil"/>
              <w:left w:val="nil"/>
              <w:bottom w:val="single" w:sz="4" w:space="0" w:color="000000"/>
              <w:right w:val="nil"/>
            </w:tcBorders>
          </w:tcPr>
          <w:p w:rsidR="00E1270E" w:rsidRPr="000504B6" w:rsidRDefault="008832F4">
            <w:pPr>
              <w:pStyle w:val="TableParagraph"/>
              <w:spacing w:before="30"/>
              <w:ind w:left="1277"/>
              <w:rPr>
                <w:rFonts w:ascii="Times New Roman" w:eastAsia="Times New Roman" w:hAnsi="Times New Roman" w:cs="Times New Roman"/>
                <w:sz w:val="28"/>
                <w:szCs w:val="28"/>
              </w:rPr>
            </w:pPr>
            <w:r w:rsidRPr="000504B6">
              <w:rPr>
                <w:rFonts w:ascii="Times New Roman" w:hAnsi="Times New Roman" w:cs="Times New Roman"/>
                <w:sz w:val="28"/>
              </w:rPr>
              <w:t>Organizácia Spojených národov</w:t>
            </w:r>
          </w:p>
        </w:tc>
        <w:tc>
          <w:tcPr>
            <w:tcW w:w="3641" w:type="dxa"/>
            <w:tcBorders>
              <w:top w:val="nil"/>
              <w:left w:val="nil"/>
              <w:bottom w:val="single" w:sz="4" w:space="0" w:color="000000"/>
              <w:right w:val="nil"/>
            </w:tcBorders>
          </w:tcPr>
          <w:p w:rsidR="00E1270E" w:rsidRPr="000504B6" w:rsidRDefault="008832F4">
            <w:pPr>
              <w:pStyle w:val="TableParagraph"/>
              <w:spacing w:line="409" w:lineRule="exact"/>
              <w:ind w:left="1920"/>
              <w:rPr>
                <w:rFonts w:ascii="Times New Roman" w:eastAsia="Times New Roman" w:hAnsi="Times New Roman" w:cs="Times New Roman"/>
                <w:sz w:val="20"/>
                <w:szCs w:val="20"/>
              </w:rPr>
            </w:pPr>
            <w:r w:rsidRPr="000504B6">
              <w:rPr>
                <w:rFonts w:ascii="Times New Roman" w:hAnsi="Times New Roman" w:cs="Times New Roman"/>
                <w:sz w:val="40"/>
              </w:rPr>
              <w:t>CRPD</w:t>
            </w:r>
            <w:r w:rsidRPr="000504B6">
              <w:rPr>
                <w:rFonts w:ascii="Times New Roman" w:hAnsi="Times New Roman" w:cs="Times New Roman"/>
                <w:sz w:val="20"/>
              </w:rPr>
              <w:t>/C/GC/6</w:t>
            </w:r>
          </w:p>
        </w:tc>
      </w:tr>
      <w:tr w:rsidR="00E1270E" w:rsidRPr="000504B6" w:rsidTr="0076591C">
        <w:trPr>
          <w:trHeight w:hRule="exact" w:val="1199"/>
        </w:trPr>
        <w:tc>
          <w:tcPr>
            <w:tcW w:w="5999" w:type="dxa"/>
            <w:tcBorders>
              <w:left w:val="nil"/>
              <w:bottom w:val="nil"/>
              <w:right w:val="nil"/>
            </w:tcBorders>
          </w:tcPr>
          <w:p w:rsidR="00E1270E" w:rsidRPr="000504B6" w:rsidRDefault="0032000C" w:rsidP="000504B6">
            <w:pPr>
              <w:pStyle w:val="TableParagraph"/>
              <w:ind w:left="1276" w:right="805"/>
              <w:rPr>
                <w:rFonts w:ascii="Times New Roman" w:eastAsia="Times New Roman" w:hAnsi="Times New Roman" w:cs="Times New Roman"/>
                <w:sz w:val="34"/>
                <w:szCs w:val="34"/>
              </w:rPr>
            </w:pPr>
            <w:r>
              <w:rPr>
                <w:rFonts w:ascii="Times New Roman" w:hAnsi="Times New Roman" w:cs="Times New Roman"/>
                <w:b/>
                <w:bCs/>
                <w:noProof/>
                <w:lang w:eastAsia="sk-SK"/>
              </w:rPr>
              <w:drawing>
                <wp:anchor distT="0" distB="0" distL="114300" distR="114300" simplePos="0" relativeHeight="503304104" behindDoc="1" locked="0" layoutInCell="1" allowOverlap="1">
                  <wp:simplePos x="0" y="0"/>
                  <wp:positionH relativeFrom="page">
                    <wp:posOffset>22860</wp:posOffset>
                  </wp:positionH>
                  <wp:positionV relativeFrom="paragraph">
                    <wp:posOffset>93980</wp:posOffset>
                  </wp:positionV>
                  <wp:extent cx="686435" cy="561975"/>
                  <wp:effectExtent l="0" t="0" r="0" b="9525"/>
                  <wp:wrapNone/>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561975"/>
                          </a:xfrm>
                          <a:prstGeom prst="rect">
                            <a:avLst/>
                          </a:prstGeom>
                          <a:noFill/>
                        </pic:spPr>
                      </pic:pic>
                    </a:graphicData>
                  </a:graphic>
                  <wp14:sizeRelH relativeFrom="page">
                    <wp14:pctWidth>0</wp14:pctWidth>
                  </wp14:sizeRelH>
                  <wp14:sizeRelV relativeFrom="page">
                    <wp14:pctHeight>0</wp14:pctHeight>
                  </wp14:sizeRelV>
                </wp:anchor>
              </w:drawing>
            </w:r>
            <w:r w:rsidR="008832F4" w:rsidRPr="000504B6">
              <w:rPr>
                <w:rFonts w:ascii="Times New Roman" w:hAnsi="Times New Roman" w:cs="Times New Roman"/>
                <w:b/>
                <w:sz w:val="34"/>
              </w:rPr>
              <w:t>Dohovor o právach osôb so zdravotným postihnutím</w:t>
            </w:r>
          </w:p>
        </w:tc>
        <w:tc>
          <w:tcPr>
            <w:tcW w:w="3641" w:type="dxa"/>
            <w:tcBorders>
              <w:left w:val="nil"/>
              <w:bottom w:val="nil"/>
              <w:right w:val="nil"/>
            </w:tcBorders>
          </w:tcPr>
          <w:p w:rsidR="00E1270E" w:rsidRPr="000504B6" w:rsidRDefault="00E1270E">
            <w:pPr>
              <w:pStyle w:val="TableParagraph"/>
              <w:spacing w:before="7"/>
              <w:rPr>
                <w:rFonts w:ascii="Times New Roman" w:eastAsia="Times New Roman" w:hAnsi="Times New Roman" w:cs="Times New Roman"/>
                <w:sz w:val="21"/>
                <w:szCs w:val="21"/>
              </w:rPr>
            </w:pPr>
          </w:p>
          <w:p w:rsidR="00E1270E" w:rsidRPr="000504B6" w:rsidRDefault="008832F4" w:rsidP="000504B6">
            <w:pPr>
              <w:pStyle w:val="TableParagraph"/>
              <w:spacing w:line="249" w:lineRule="auto"/>
              <w:ind w:left="393" w:right="990"/>
              <w:rPr>
                <w:rFonts w:ascii="Times New Roman" w:eastAsia="Times New Roman" w:hAnsi="Times New Roman" w:cs="Times New Roman"/>
                <w:sz w:val="20"/>
                <w:szCs w:val="20"/>
              </w:rPr>
            </w:pPr>
            <w:r w:rsidRPr="000504B6">
              <w:rPr>
                <w:rFonts w:ascii="Times New Roman" w:hAnsi="Times New Roman" w:cs="Times New Roman"/>
                <w:sz w:val="20"/>
              </w:rPr>
              <w:t xml:space="preserve">Distribúcia: všeobecná </w:t>
            </w:r>
            <w:r w:rsidR="000504B6">
              <w:rPr>
                <w:rFonts w:ascii="Times New Roman" w:hAnsi="Times New Roman" w:cs="Times New Roman"/>
                <w:sz w:val="20"/>
              </w:rPr>
              <w:br/>
            </w:r>
            <w:r w:rsidRPr="000504B6">
              <w:rPr>
                <w:rFonts w:ascii="Times New Roman" w:hAnsi="Times New Roman" w:cs="Times New Roman"/>
                <w:sz w:val="20"/>
              </w:rPr>
              <w:t>26. apríla 2018</w:t>
            </w:r>
          </w:p>
          <w:p w:rsidR="00E1270E" w:rsidRPr="000504B6" w:rsidRDefault="00E1270E">
            <w:pPr>
              <w:pStyle w:val="TableParagraph"/>
              <w:spacing w:before="11"/>
              <w:rPr>
                <w:rFonts w:ascii="Times New Roman" w:eastAsia="Times New Roman" w:hAnsi="Times New Roman" w:cs="Times New Roman"/>
                <w:sz w:val="20"/>
                <w:szCs w:val="20"/>
              </w:rPr>
            </w:pPr>
          </w:p>
          <w:p w:rsidR="00E1270E" w:rsidRPr="000504B6" w:rsidRDefault="008832F4" w:rsidP="000504B6">
            <w:pPr>
              <w:pStyle w:val="TableParagraph"/>
              <w:ind w:left="393"/>
              <w:rPr>
                <w:rFonts w:ascii="Times New Roman" w:eastAsia="Times New Roman" w:hAnsi="Times New Roman" w:cs="Times New Roman"/>
                <w:sz w:val="20"/>
                <w:szCs w:val="20"/>
              </w:rPr>
            </w:pPr>
            <w:r w:rsidRPr="000504B6">
              <w:rPr>
                <w:rFonts w:ascii="Times New Roman" w:hAnsi="Times New Roman" w:cs="Times New Roman"/>
                <w:sz w:val="20"/>
              </w:rPr>
              <w:t>Pôvodný jazyk dokumentu: angličtina</w:t>
            </w:r>
          </w:p>
        </w:tc>
      </w:tr>
    </w:tbl>
    <w:p w:rsidR="00E1270E" w:rsidRPr="000504B6" w:rsidRDefault="00E1270E">
      <w:pPr>
        <w:rPr>
          <w:rFonts w:ascii="Times New Roman" w:eastAsia="Times New Roman" w:hAnsi="Times New Roman" w:cs="Times New Roman"/>
          <w:sz w:val="20"/>
          <w:szCs w:val="20"/>
        </w:rPr>
      </w:pPr>
    </w:p>
    <w:p w:rsidR="00E1270E" w:rsidRPr="000504B6" w:rsidRDefault="00E1270E">
      <w:pPr>
        <w:rPr>
          <w:rFonts w:ascii="Times New Roman" w:eastAsia="Times New Roman" w:hAnsi="Times New Roman" w:cs="Times New Roman"/>
          <w:sz w:val="20"/>
          <w:szCs w:val="20"/>
        </w:rPr>
      </w:pPr>
    </w:p>
    <w:p w:rsidR="00E1270E" w:rsidRPr="000504B6" w:rsidRDefault="00E1270E">
      <w:pPr>
        <w:spacing w:before="1"/>
        <w:rPr>
          <w:rFonts w:ascii="Times New Roman" w:eastAsia="Times New Roman" w:hAnsi="Times New Roman" w:cs="Times New Roman"/>
        </w:rPr>
      </w:pPr>
    </w:p>
    <w:p w:rsidR="00E1270E" w:rsidRPr="000504B6" w:rsidRDefault="0032000C">
      <w:pPr>
        <w:spacing w:line="28" w:lineRule="exact"/>
        <w:ind w:left="104"/>
        <w:rPr>
          <w:rFonts w:ascii="Times New Roman" w:eastAsia="Times New Roman" w:hAnsi="Times New Roman" w:cs="Times New Roman"/>
          <w:sz w:val="2"/>
          <w:szCs w:val="2"/>
        </w:rPr>
      </w:pPr>
      <w:r>
        <w:rPr>
          <w:rFonts w:ascii="Times New Roman" w:hAnsi="Times New Roman" w:cs="Times New Roman"/>
          <w:noProof/>
          <w:sz w:val="2"/>
          <w:szCs w:val="2"/>
          <w:lang w:eastAsia="sk-SK"/>
        </w:rPr>
        <mc:AlternateContent>
          <mc:Choice Requires="wpg">
            <w:drawing>
              <wp:inline distT="0" distB="0" distL="0" distR="0">
                <wp:extent cx="6149340" cy="18415"/>
                <wp:effectExtent l="9525" t="9525" r="3810" b="635"/>
                <wp:docPr id="15"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49340" cy="18415"/>
                          <a:chOff x="0" y="0"/>
                          <a:chExt cx="9684" cy="29"/>
                        </a:xfrm>
                      </wpg:grpSpPr>
                      <wpg:grpSp>
                        <wpg:cNvPr id="16" name="Group 47"/>
                        <wpg:cNvGrpSpPr>
                          <a:grpSpLocks/>
                        </wpg:cNvGrpSpPr>
                        <wpg:grpSpPr bwMode="auto">
                          <a:xfrm>
                            <a:off x="14" y="14"/>
                            <a:ext cx="1292" cy="2"/>
                            <a:chOff x="14" y="14"/>
                            <a:chExt cx="1292" cy="2"/>
                          </a:xfrm>
                        </wpg:grpSpPr>
                        <wps:wsp>
                          <wps:cNvPr id="17" name="Freeform 48"/>
                          <wps:cNvSpPr>
                            <a:spLocks/>
                          </wps:cNvSpPr>
                          <wps:spPr bwMode="auto">
                            <a:xfrm>
                              <a:off x="14" y="14"/>
                              <a:ext cx="1292" cy="2"/>
                            </a:xfrm>
                            <a:custGeom>
                              <a:avLst/>
                              <a:gdLst>
                                <a:gd name="T0" fmla="+- 0 14 14"/>
                                <a:gd name="T1" fmla="*/ T0 w 1292"/>
                                <a:gd name="T2" fmla="+- 0 1306 14"/>
                                <a:gd name="T3" fmla="*/ T2 w 1292"/>
                              </a:gdLst>
                              <a:ahLst/>
                              <a:cxnLst>
                                <a:cxn ang="0">
                                  <a:pos x="T1" y="0"/>
                                </a:cxn>
                                <a:cxn ang="0">
                                  <a:pos x="T3" y="0"/>
                                </a:cxn>
                              </a:cxnLst>
                              <a:rect l="0" t="0" r="r" b="b"/>
                              <a:pathLst>
                                <a:path w="1292">
                                  <a:moveTo>
                                    <a:pt x="0" y="0"/>
                                  </a:moveTo>
                                  <a:lnTo>
                                    <a:pt x="1292"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 name="Group 45"/>
                        <wpg:cNvGrpSpPr>
                          <a:grpSpLocks/>
                        </wpg:cNvGrpSpPr>
                        <wpg:grpSpPr bwMode="auto">
                          <a:xfrm>
                            <a:off x="1292" y="14"/>
                            <a:ext cx="29" cy="2"/>
                            <a:chOff x="1292" y="14"/>
                            <a:chExt cx="29" cy="2"/>
                          </a:xfrm>
                        </wpg:grpSpPr>
                        <wps:wsp>
                          <wps:cNvPr id="19" name="Freeform 46"/>
                          <wps:cNvSpPr>
                            <a:spLocks/>
                          </wps:cNvSpPr>
                          <wps:spPr bwMode="auto">
                            <a:xfrm>
                              <a:off x="1292" y="14"/>
                              <a:ext cx="29" cy="2"/>
                            </a:xfrm>
                            <a:custGeom>
                              <a:avLst/>
                              <a:gdLst>
                                <a:gd name="T0" fmla="+- 0 1292 1292"/>
                                <a:gd name="T1" fmla="*/ T0 w 29"/>
                                <a:gd name="T2" fmla="+- 0 1320 1292"/>
                                <a:gd name="T3" fmla="*/ T2 w 29"/>
                              </a:gdLst>
                              <a:ahLst/>
                              <a:cxnLst>
                                <a:cxn ang="0">
                                  <a:pos x="T1" y="0"/>
                                </a:cxn>
                                <a:cxn ang="0">
                                  <a:pos x="T3" y="0"/>
                                </a:cxn>
                              </a:cxnLst>
                              <a:rect l="0" t="0" r="r" b="b"/>
                              <a:pathLst>
                                <a:path w="29">
                                  <a:moveTo>
                                    <a:pt x="0" y="0"/>
                                  </a:moveTo>
                                  <a:lnTo>
                                    <a:pt x="28"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 name="Group 43"/>
                        <wpg:cNvGrpSpPr>
                          <a:grpSpLocks/>
                        </wpg:cNvGrpSpPr>
                        <wpg:grpSpPr bwMode="auto">
                          <a:xfrm>
                            <a:off x="1320" y="14"/>
                            <a:ext cx="5514" cy="2"/>
                            <a:chOff x="1320" y="14"/>
                            <a:chExt cx="5514" cy="2"/>
                          </a:xfrm>
                        </wpg:grpSpPr>
                        <wps:wsp>
                          <wps:cNvPr id="21" name="Freeform 44"/>
                          <wps:cNvSpPr>
                            <a:spLocks/>
                          </wps:cNvSpPr>
                          <wps:spPr bwMode="auto">
                            <a:xfrm>
                              <a:off x="1320" y="14"/>
                              <a:ext cx="5514" cy="2"/>
                            </a:xfrm>
                            <a:custGeom>
                              <a:avLst/>
                              <a:gdLst>
                                <a:gd name="T0" fmla="+- 0 1320 1320"/>
                                <a:gd name="T1" fmla="*/ T0 w 5514"/>
                                <a:gd name="T2" fmla="+- 0 6834 1320"/>
                                <a:gd name="T3" fmla="*/ T2 w 5514"/>
                              </a:gdLst>
                              <a:ahLst/>
                              <a:cxnLst>
                                <a:cxn ang="0">
                                  <a:pos x="T1" y="0"/>
                                </a:cxn>
                                <a:cxn ang="0">
                                  <a:pos x="T3" y="0"/>
                                </a:cxn>
                              </a:cxnLst>
                              <a:rect l="0" t="0" r="r" b="b"/>
                              <a:pathLst>
                                <a:path w="5514">
                                  <a:moveTo>
                                    <a:pt x="0" y="0"/>
                                  </a:moveTo>
                                  <a:lnTo>
                                    <a:pt x="5514"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2" name="Group 41"/>
                        <wpg:cNvGrpSpPr>
                          <a:grpSpLocks/>
                        </wpg:cNvGrpSpPr>
                        <wpg:grpSpPr bwMode="auto">
                          <a:xfrm>
                            <a:off x="6820" y="14"/>
                            <a:ext cx="29" cy="2"/>
                            <a:chOff x="6820" y="14"/>
                            <a:chExt cx="29" cy="2"/>
                          </a:xfrm>
                        </wpg:grpSpPr>
                        <wps:wsp>
                          <wps:cNvPr id="23" name="Freeform 42"/>
                          <wps:cNvSpPr>
                            <a:spLocks/>
                          </wps:cNvSpPr>
                          <wps:spPr bwMode="auto">
                            <a:xfrm>
                              <a:off x="6820" y="14"/>
                              <a:ext cx="29" cy="2"/>
                            </a:xfrm>
                            <a:custGeom>
                              <a:avLst/>
                              <a:gdLst>
                                <a:gd name="T0" fmla="+- 0 6820 6820"/>
                                <a:gd name="T1" fmla="*/ T0 w 29"/>
                                <a:gd name="T2" fmla="+- 0 6849 6820"/>
                                <a:gd name="T3" fmla="*/ T2 w 29"/>
                              </a:gdLst>
                              <a:ahLst/>
                              <a:cxnLst>
                                <a:cxn ang="0">
                                  <a:pos x="T1" y="0"/>
                                </a:cxn>
                                <a:cxn ang="0">
                                  <a:pos x="T3" y="0"/>
                                </a:cxn>
                              </a:cxnLst>
                              <a:rect l="0" t="0" r="r" b="b"/>
                              <a:pathLst>
                                <a:path w="29">
                                  <a:moveTo>
                                    <a:pt x="0" y="0"/>
                                  </a:moveTo>
                                  <a:lnTo>
                                    <a:pt x="29"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4" name="Group 39"/>
                        <wpg:cNvGrpSpPr>
                          <a:grpSpLocks/>
                        </wpg:cNvGrpSpPr>
                        <wpg:grpSpPr bwMode="auto">
                          <a:xfrm>
                            <a:off x="6849" y="14"/>
                            <a:ext cx="2821" cy="2"/>
                            <a:chOff x="6849" y="14"/>
                            <a:chExt cx="2821" cy="2"/>
                          </a:xfrm>
                        </wpg:grpSpPr>
                        <wps:wsp>
                          <wps:cNvPr id="25" name="Freeform 40"/>
                          <wps:cNvSpPr>
                            <a:spLocks/>
                          </wps:cNvSpPr>
                          <wps:spPr bwMode="auto">
                            <a:xfrm>
                              <a:off x="6849" y="14"/>
                              <a:ext cx="2821" cy="2"/>
                            </a:xfrm>
                            <a:custGeom>
                              <a:avLst/>
                              <a:gdLst>
                                <a:gd name="T0" fmla="+- 0 6849 6849"/>
                                <a:gd name="T1" fmla="*/ T0 w 2821"/>
                                <a:gd name="T2" fmla="+- 0 9669 6849"/>
                                <a:gd name="T3" fmla="*/ T2 w 2821"/>
                              </a:gdLst>
                              <a:ahLst/>
                              <a:cxnLst>
                                <a:cxn ang="0">
                                  <a:pos x="T1" y="0"/>
                                </a:cxn>
                                <a:cxn ang="0">
                                  <a:pos x="T3" y="0"/>
                                </a:cxn>
                              </a:cxnLst>
                              <a:rect l="0" t="0" r="r" b="b"/>
                              <a:pathLst>
                                <a:path w="2821">
                                  <a:moveTo>
                                    <a:pt x="0" y="0"/>
                                  </a:moveTo>
                                  <a:lnTo>
                                    <a:pt x="2820" y="0"/>
                                  </a:lnTo>
                                </a:path>
                              </a:pathLst>
                            </a:custGeom>
                            <a:noFill/>
                            <a:ln w="1828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id="Group 38" o:spid="_x0000_s1026" style="width:484.2pt;height:1.45pt;mso-position-horizontal-relative:char;mso-position-vertical-relative:line" coordsize="968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">
                <v:group id="Group 47" o:spid="_x0000_s1027" style="position:absolute;left:14;top:14;width:1292;height:2" coordorigin="14,14" coordsize="129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shape id="Freeform 48" o:spid="_x0000_s1028" style="position:absolute;left:14;top:14;width:1292;height:2;visibility:visible;mso-wrap-style:square;v-text-anchor:top" coordsize="129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mZiMEA&#10;AADbAAAADwAAAGRycy9kb3ducmV2LnhtbERPzYrCMBC+L/gOYQQvYlM9uEvXKCIIInqw3QcYm+kP&#10;20xKE2t3n94Igrf5+H5ntRlMI3rqXG1ZwTyKQRDnVtdcKvjJ9rMvEM4ja2wsk4I/crBZjz5WmGh7&#10;5wv1qS9FCGGXoILK+zaR0uUVGXSRbYkDV9jOoA+wK6Xu8B7CTSMXcbyUBmsODRW2tKso/01vRkFj&#10;ttPieP1Pp1hm53OeFcVp2Ss1GQ/bbxCeBv8Wv9wHHeZ/wvOXcIBc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spmYjBAAAA2wAAAA8AAAAAAAAAAAAAAAAAmAIAAGRycy9kb3du&#10;cmV2LnhtbFBLBQYAAAAABAAEAPUAAACGAwAAAAA=&#10;" path="m,l1292,e" filled="f" strokeweight="1.44pt">
                    <v:path arrowok="t" o:connecttype="custom" o:connectlocs="0,0;1292,0" o:connectangles="0,0"/>
                  </v:shape>
                </v:group>
                <v:group id="Group 45" o:spid="_x0000_s1029" style="position:absolute;left:1292;top:14;width:29;height:2" coordorigin="1292,14" coordsize="2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shape id="Freeform 46" o:spid="_x0000_s1030" style="position:absolute;left:1292;top:14;width:29;height:2;visibility:visible;mso-wrap-style:square;v-text-anchor:top" coordsize="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rQhsEA&#10;AADbAAAADwAAAGRycy9kb3ducmV2LnhtbERPyW7CMBC9I/EP1iD1Bg4ItTTFIBZV7YELodyHeJoE&#10;4nEUG2L+vkaqxG2e3jrzZTC1uFHrKssKxqMEBHFudcWFgp/D53AGwnlkjbVlUnAnB8tFvzfHVNuO&#10;93TLfCFiCLsUFZTeN6mULi/JoBvZhjhyv7Y16CNsC6lb7GK4qeUkSV6lwYpjQ4kNbUrKL9nVKLD3&#10;ENbhuN3tu03zNTmPT9OrflPqZRBWHyA8Bf8U/7u/dZz/Do9f4gF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aa0IbBAAAA2wAAAA8AAAAAAAAAAAAAAAAAmAIAAGRycy9kb3du&#10;cmV2LnhtbFBLBQYAAAAABAAEAPUAAACGAwAAAAA=&#10;" path="m,l28,e" filled="f" strokeweight="1.44pt">
                    <v:path arrowok="t" o:connecttype="custom" o:connectlocs="0,0;28,0" o:connectangles="0,0"/>
                  </v:shape>
                </v:group>
                <v:group id="Group 43" o:spid="_x0000_s1031" style="position:absolute;left:1320;top:14;width:5514;height:2" coordorigin="1320,14" coordsize="55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shape id="Freeform 44" o:spid="_x0000_s1032" style="position:absolute;left:1320;top:14;width:5514;height:2;visibility:visible;mso-wrap-style:square;v-text-anchor:top" coordsize="551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oxR8QA&#10;AADbAAAADwAAAGRycy9kb3ducmV2LnhtbESPS2vCQBSF94L/YbhCN2ImBio2ZhTpg7pxYazo8pK5&#10;TVIzd0JmqvHfdwqCy8N5fJxs1ZtGXKhztWUF0ygGQVxYXXOp4Gv/MZmDcB5ZY2OZFNzIwWo5HGSY&#10;anvlHV1yX4owwi5FBZX3bSqlKyoy6CLbEgfv23YGfZBdKXWH1zBuGpnE8UwarDkQKmzptaLinP+a&#10;wJUv+fw52R6On7NYHt5P+zH/vCn1NOrXCxCeev8I39sbrSCZwv+X8APk8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aMUfEAAAA2wAAAA8AAAAAAAAAAAAAAAAAmAIAAGRycy9k&#10;b3ducmV2LnhtbFBLBQYAAAAABAAEAPUAAACJAwAAAAA=&#10;" path="m,l5514,e" filled="f" strokeweight="1.44pt">
                    <v:path arrowok="t" o:connecttype="custom" o:connectlocs="0,0;5514,0" o:connectangles="0,0"/>
                  </v:shape>
                </v:group>
                <v:group id="Group 41" o:spid="_x0000_s1033" style="position:absolute;left:6820;top:14;width:29;height:2" coordorigin="6820,14" coordsize="2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shape id="Freeform 42" o:spid="_x0000_s1034" style="position:absolute;left:6820;top:14;width:29;height:2;visibility:visible;mso-wrap-style:square;v-text-anchor:top" coordsize="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4t0cQA&#10;AADbAAAADwAAAGRycy9kb3ducmV2LnhtbESPzW7CMBCE75V4B2uReisOaVVQwKA2VdUeeuHvvsRL&#10;EojXUewQ8/Z1pUocRzPzjWa5DqYRV+pcbVnBdJKAIC6srrlUsN99Ps1BOI+ssbFMCm7kYL0aPSwx&#10;03bgDV23vhQRwi5DBZX3bSalKyoy6Ca2JY7eyXYGfZRdKXWHQ4SbRqZJ8ioN1hwXKmwpr6i4bHuj&#10;wN5CeA+Hj5/NkLdf6Xl6fOn1TKnHcXhbgPAU/D383/7WCtJn+PsSf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eLdHEAAAA2wAAAA8AAAAAAAAAAAAAAAAAmAIAAGRycy9k&#10;b3ducmV2LnhtbFBLBQYAAAAABAAEAPUAAACJAwAAAAA=&#10;" path="m,l29,e" filled="f" strokeweight="1.44pt">
                    <v:path arrowok="t" o:connecttype="custom" o:connectlocs="0,0;29,0" o:connectangles="0,0"/>
                  </v:shape>
                </v:group>
                <v:group id="Group 39" o:spid="_x0000_s1035" style="position:absolute;left:6849;top:14;width:2821;height:2" coordorigin="6849,14" coordsize="282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oOpMQAAADbAAAADwAAAGRycy9kb3ducmV2LnhtbESPQYvCMBSE78L+h/AW&#10;vGlaVxepRhHZFQ8iqAvi7dE822LzUppsW/+9EQSPw8x8w8yXnSlFQ7UrLCuIhxEI4tTqgjMFf6ff&#10;wRSE88gaS8uk4E4OlouP3hwTbVs+UHP0mQgQdgkqyL2vEildmpNBN7QVcfCutjbog6wzqWtsA9yU&#10;chRF39JgwWEhx4rWOaW3479RsGmxXX3FP83udl3fL6fJ/ryLSan+Z7eagfDU+Xf41d5qBaMx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GoOpMQAAADbAAAA&#10;DwAAAAAAAAAAAAAAAACqAgAAZHJzL2Rvd25yZXYueG1sUEsFBgAAAAAEAAQA+gAAAJsDAAAAAA==&#10;">
                  <v:shape id="Freeform 40" o:spid="_x0000_s1036" style="position:absolute;left:6849;top:14;width:2821;height:2;visibility:visible;mso-wrap-style:square;v-text-anchor:top" coordsize="282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u4YcMA&#10;AADbAAAADwAAAGRycy9kb3ducmV2LnhtbESPT4vCMBTE7wt+h/CEva2piqLVKFZw2YOH9S8eH82z&#10;LTYvpcna+u3NguBxmJnfMPNla0pxp9oVlhX0exEI4tTqgjMFx8PmawLCeWSNpWVS8CAHy0XnY46x&#10;tg3v6L73mQgQdjEqyL2vYildmpNB17MVcfCutjbog6wzqWtsAtyUchBFY2mw4LCQY0XrnNLb/s8o&#10;GF5kefptq+n3eULT5LpNirRJlPrstqsZCE+tf4df7R+tYDCC/y/hB8jF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Zu4YcMAAADbAAAADwAAAAAAAAAAAAAAAACYAgAAZHJzL2Rv&#10;d25yZXYueG1sUEsFBgAAAAAEAAQA9QAAAIgDAAAAAA==&#10;" path="m,l2820,e" filled="f" strokeweight="1.44pt">
                    <v:path arrowok="t" o:connecttype="custom" o:connectlocs="0,0;2820,0" o:connectangles="0,0"/>
                  </v:shape>
                </v:group>
                <w10:anchorlock/>
              </v:group>
            </w:pict>
          </mc:Fallback>
        </mc:AlternateContent>
      </w:r>
    </w:p>
    <w:p w:rsidR="00E1270E" w:rsidRPr="000504B6" w:rsidRDefault="00372608">
      <w:pPr>
        <w:pStyle w:val="Nadpis2"/>
        <w:ind w:left="132" w:right="2450" w:firstLine="0"/>
        <w:rPr>
          <w:rFonts w:cs="Times New Roman"/>
          <w:b w:val="0"/>
          <w:bCs w:val="0"/>
        </w:rPr>
      </w:pPr>
      <w:r w:rsidRPr="000504B6">
        <w:rPr>
          <w:rFonts w:cs="Times New Roman"/>
        </w:rPr>
        <w:t>Výbor pre práva osôb so zdravotným postihnutím</w:t>
      </w:r>
    </w:p>
    <w:p w:rsidR="00E1270E" w:rsidRPr="000504B6" w:rsidRDefault="00E1270E">
      <w:pPr>
        <w:spacing w:before="5"/>
        <w:rPr>
          <w:rFonts w:ascii="Times New Roman" w:eastAsia="Times New Roman" w:hAnsi="Times New Roman" w:cs="Times New Roman"/>
          <w:b/>
          <w:bCs/>
          <w:sz w:val="31"/>
          <w:szCs w:val="31"/>
        </w:rPr>
      </w:pPr>
    </w:p>
    <w:p w:rsidR="00E1270E" w:rsidRPr="000504B6" w:rsidRDefault="008832F4" w:rsidP="006626F1">
      <w:pPr>
        <w:spacing w:line="300" w:lineRule="exact"/>
        <w:ind w:left="1266" w:right="1121"/>
        <w:rPr>
          <w:rFonts w:ascii="Times New Roman" w:eastAsia="Times New Roman" w:hAnsi="Times New Roman" w:cs="Times New Roman"/>
          <w:sz w:val="20"/>
          <w:szCs w:val="20"/>
        </w:rPr>
      </w:pPr>
      <w:r w:rsidRPr="000504B6">
        <w:rPr>
          <w:rFonts w:ascii="Times New Roman" w:hAnsi="Times New Roman" w:cs="Times New Roman"/>
          <w:b/>
          <w:sz w:val="28"/>
        </w:rPr>
        <w:t>Všeobecný komentár č. 6 (20</w:t>
      </w:r>
      <w:bookmarkStart w:id="0" w:name="_GoBack"/>
      <w:r w:rsidRPr="000504B6">
        <w:rPr>
          <w:rFonts w:ascii="Times New Roman" w:hAnsi="Times New Roman" w:cs="Times New Roman"/>
          <w:b/>
          <w:sz w:val="28"/>
        </w:rPr>
        <w:t>18) o rovnosti a nediskriminácii</w:t>
      </w:r>
      <w:r w:rsidRPr="000504B6">
        <w:rPr>
          <w:rFonts w:ascii="Times New Roman" w:hAnsi="Times New Roman" w:cs="Times New Roman"/>
          <w:sz w:val="20"/>
        </w:rPr>
        <w:t>*</w:t>
      </w:r>
    </w:p>
    <w:p w:rsidR="00E1270E" w:rsidRPr="000504B6" w:rsidRDefault="00E1270E">
      <w:pPr>
        <w:spacing w:before="5"/>
        <w:rPr>
          <w:rFonts w:ascii="Times New Roman" w:eastAsia="Times New Roman" w:hAnsi="Times New Roman" w:cs="Times New Roman"/>
          <w:sz w:val="29"/>
          <w:szCs w:val="29"/>
        </w:rPr>
      </w:pPr>
    </w:p>
    <w:p w:rsidR="00E1270E" w:rsidRPr="000504B6" w:rsidRDefault="008832F4">
      <w:pPr>
        <w:pStyle w:val="Odsekzoznamu"/>
        <w:numPr>
          <w:ilvl w:val="0"/>
          <w:numId w:val="5"/>
        </w:numPr>
        <w:tabs>
          <w:tab w:val="left" w:pos="1266"/>
        </w:tabs>
        <w:ind w:right="2450"/>
        <w:jc w:val="left"/>
        <w:rPr>
          <w:rFonts w:ascii="Times New Roman" w:eastAsia="Times New Roman" w:hAnsi="Times New Roman" w:cs="Times New Roman"/>
          <w:sz w:val="28"/>
          <w:szCs w:val="28"/>
        </w:rPr>
      </w:pPr>
      <w:r w:rsidRPr="000504B6">
        <w:rPr>
          <w:rFonts w:ascii="Times New Roman" w:hAnsi="Times New Roman" w:cs="Times New Roman"/>
          <w:b/>
          <w:sz w:val="28"/>
        </w:rPr>
        <w:t>Úvod</w:t>
      </w:r>
    </w:p>
    <w:p w:rsidR="00E1270E" w:rsidRPr="000504B6" w:rsidRDefault="008832F4">
      <w:pPr>
        <w:pStyle w:val="Odsekzoznamu"/>
        <w:numPr>
          <w:ilvl w:val="1"/>
          <w:numId w:val="5"/>
        </w:numPr>
        <w:tabs>
          <w:tab w:val="left" w:pos="1835"/>
        </w:tabs>
        <w:spacing w:before="244" w:line="249" w:lineRule="auto"/>
        <w:ind w:right="1267" w:firstLine="0"/>
        <w:jc w:val="both"/>
        <w:rPr>
          <w:rFonts w:ascii="Times New Roman" w:eastAsia="Times New Roman" w:hAnsi="Times New Roman" w:cs="Times New Roman"/>
          <w:sz w:val="20"/>
          <w:szCs w:val="20"/>
        </w:rPr>
      </w:pPr>
      <w:r w:rsidRPr="000504B6">
        <w:rPr>
          <w:rFonts w:ascii="Times New Roman" w:hAnsi="Times New Roman" w:cs="Times New Roman"/>
          <w:sz w:val="20"/>
        </w:rPr>
        <w:t>Cieľom tohto všeobe</w:t>
      </w:r>
      <w:bookmarkEnd w:id="0"/>
      <w:r w:rsidRPr="000504B6">
        <w:rPr>
          <w:rFonts w:ascii="Times New Roman" w:hAnsi="Times New Roman" w:cs="Times New Roman"/>
          <w:sz w:val="20"/>
        </w:rPr>
        <w:t>cného komentára je objasniť záväzky zmluvných štátov týkajúce sa nediskriminácie a rovnosti upravené v článku 5 Dohovoru o právach osôb so zdravotným postihnutím.</w:t>
      </w:r>
    </w:p>
    <w:p w:rsidR="00E1270E" w:rsidRPr="000504B6" w:rsidRDefault="008832F4">
      <w:pPr>
        <w:pStyle w:val="Odsekzoznamu"/>
        <w:numPr>
          <w:ilvl w:val="1"/>
          <w:numId w:val="5"/>
        </w:numPr>
        <w:tabs>
          <w:tab w:val="left" w:pos="1835"/>
        </w:tabs>
        <w:spacing w:before="121" w:line="249" w:lineRule="auto"/>
        <w:ind w:right="1270" w:firstLine="0"/>
        <w:jc w:val="both"/>
        <w:rPr>
          <w:rFonts w:ascii="Times New Roman" w:eastAsia="Times New Roman" w:hAnsi="Times New Roman" w:cs="Times New Roman"/>
          <w:sz w:val="20"/>
          <w:szCs w:val="20"/>
        </w:rPr>
      </w:pPr>
      <w:r w:rsidRPr="000504B6">
        <w:rPr>
          <w:rFonts w:ascii="Times New Roman" w:hAnsi="Times New Roman" w:cs="Times New Roman"/>
          <w:sz w:val="20"/>
        </w:rPr>
        <w:t>Výbor sa znepokojuje tým, že zákony a politiky zmluvných štátov ešte stále pristupujú k zdravotnému postihnutiu prostredníctvom charitatívnych a/alebo medicínskych modelov napriek ich nezlučiteľnosti s dohovorom. Pretrvávajúce používanie takýchto vzorov neuznáva osoby so zdravotným postihnutím ako plnohodnotné subjekty a držiteľov práv. Okrem toho výbor poukazuje na to, že doterajšie úsilie zmluvných štátov o prekonanie postojových bariér voči zdravotné postihnutiu nie je postačujúce. Medzi príklady patria trvalé a ponižujúce stereotypy, stigmatizácia osôb so zdravotným postihnutím, ako aj predsudky voči nim, ktoré spoločnosť zaťažujú. V reakcii na to je rozhodujúce, aby osoby so zdravotným postihnutím zohrávali kľúčovú úlohu pri tvorbe právnych a politických reforiem prostredníctvom svojich zastupiteľských organizácií.</w:t>
      </w:r>
    </w:p>
    <w:p w:rsidR="00E1270E" w:rsidRPr="000504B6" w:rsidRDefault="008832F4">
      <w:pPr>
        <w:pStyle w:val="Odsekzoznamu"/>
        <w:numPr>
          <w:ilvl w:val="1"/>
          <w:numId w:val="5"/>
        </w:numPr>
        <w:tabs>
          <w:tab w:val="left" w:pos="1835"/>
        </w:tabs>
        <w:spacing w:before="121" w:line="249" w:lineRule="auto"/>
        <w:ind w:right="1266" w:firstLine="0"/>
        <w:jc w:val="both"/>
        <w:rPr>
          <w:rFonts w:ascii="Times New Roman" w:eastAsia="Times New Roman" w:hAnsi="Times New Roman" w:cs="Times New Roman"/>
          <w:sz w:val="20"/>
          <w:szCs w:val="20"/>
        </w:rPr>
      </w:pPr>
      <w:r w:rsidRPr="000504B6">
        <w:rPr>
          <w:rFonts w:ascii="Times New Roman" w:hAnsi="Times New Roman" w:cs="Times New Roman"/>
          <w:sz w:val="20"/>
        </w:rPr>
        <w:t>Rozšírením úpravy antidiskriminačných zákonov a právnych rámcov súvisiacich s ľudskými právami sa v mnohých zmluvných štátoch zvýšila aj ochrana práv osôb so zdravotným postihnutím. Napriek tomu sú zákony a regulačné právne rámce aj naďalej často chybné, neúplné alebo neúčinné, príp. odrážajú nedostatočné pochopenie modelu, ktorý rieši problematiku zdravotného postihnutia na základe ľudských práv. Mnohé vnútroštátne zákony a politiky zachovávajú vo svojej úprave vylúčenie, izoláciu a diskrimináciu osôb so zdravotným postihnutím, ako aj násilie voči nim. Často v nich chýba uznanie viacnásobnej a prierezovej diskriminácie alebo diskriminácie z dôvodu osobitného vzťahu k zdravotne postihnutej osobe. Zároveň neuznávajú, že odmietnutie primeraných úprav predstavuje diskrimináciu ani neobsahujú účinné mechanizmy právnej nápravy a odškodnenia. Takéto zákony a politiky sa spravidla nepovažujú za diskrimináciu na základe zdravotného postihnutia, pretože sa ich úprava zdôvodňuje ochranou alebo starostlivosťou o osoby so zdravotným postihnutím alebo konaním v ich najlepšom záujme.</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1"/>
        <w:numPr>
          <w:ilvl w:val="0"/>
          <w:numId w:val="5"/>
        </w:numPr>
        <w:tabs>
          <w:tab w:val="left" w:pos="1266"/>
        </w:tabs>
        <w:spacing w:before="126" w:line="300" w:lineRule="exact"/>
        <w:ind w:right="1791" w:hanging="569"/>
        <w:jc w:val="left"/>
        <w:rPr>
          <w:rFonts w:cs="Times New Roman"/>
          <w:b w:val="0"/>
          <w:bCs w:val="0"/>
        </w:rPr>
      </w:pPr>
      <w:r w:rsidRPr="000504B6">
        <w:rPr>
          <w:rFonts w:cs="Times New Roman"/>
        </w:rPr>
        <w:t>Rovnosť a nediskriminácia osôb so zdravotným postihnutím v medzinárodnom práve</w:t>
      </w:r>
    </w:p>
    <w:p w:rsidR="00E1270E" w:rsidRPr="000504B6" w:rsidRDefault="008832F4">
      <w:pPr>
        <w:pStyle w:val="Odsekzoznamu"/>
        <w:numPr>
          <w:ilvl w:val="0"/>
          <w:numId w:val="4"/>
        </w:numPr>
        <w:tabs>
          <w:tab w:val="left" w:pos="1835"/>
        </w:tabs>
        <w:spacing w:before="245" w:line="249" w:lineRule="auto"/>
        <w:ind w:right="1269" w:firstLine="0"/>
        <w:jc w:val="both"/>
        <w:rPr>
          <w:rFonts w:ascii="Times New Roman" w:eastAsia="Times New Roman" w:hAnsi="Times New Roman" w:cs="Times New Roman"/>
          <w:sz w:val="20"/>
          <w:szCs w:val="20"/>
        </w:rPr>
      </w:pPr>
      <w:r w:rsidRPr="000504B6">
        <w:rPr>
          <w:rFonts w:ascii="Times New Roman" w:hAnsi="Times New Roman" w:cs="Times New Roman"/>
          <w:sz w:val="20"/>
        </w:rPr>
        <w:t>Rovnosť a nediskriminácia patria medzi najzákladnejšie zásady a práva zakotvené v medzinárodných predpisoch o ľudských právach. Keďže sú prepojené s ľudskou dôstojnosťou, predstavujú „základný kameň“ všetkých ľudských práv. V článkoch 1 a 2 Všeobecnej deklarácie ľudských práv sa zdôrazňuje, že každá ľudská bytosť je z hľadiska dôstojnosti a práv rovnaká. Navyše ich úprava odsudzuje diskrimináciu na základe neúplného počtu dôvodov.</w:t>
      </w:r>
    </w:p>
    <w:p w:rsidR="00E1270E" w:rsidRPr="000504B6" w:rsidRDefault="00E1270E">
      <w:pPr>
        <w:spacing w:before="5"/>
        <w:rPr>
          <w:rFonts w:ascii="Times New Roman" w:eastAsia="Times New Roman" w:hAnsi="Times New Roman" w:cs="Times New Roman"/>
          <w:sz w:val="27"/>
          <w:szCs w:val="27"/>
        </w:rPr>
      </w:pPr>
    </w:p>
    <w:p w:rsidR="00E1270E" w:rsidRPr="000504B6" w:rsidRDefault="0032000C">
      <w:pPr>
        <w:spacing w:line="20" w:lineRule="exact"/>
        <w:ind w:left="807"/>
        <w:rPr>
          <w:rFonts w:ascii="Times New Roman" w:eastAsia="Times New Roman" w:hAnsi="Times New Roman" w:cs="Times New Roman"/>
          <w:sz w:val="2"/>
          <w:szCs w:val="2"/>
        </w:rPr>
      </w:pPr>
      <w:r>
        <w:rPr>
          <w:rFonts w:ascii="Times New Roman" w:hAnsi="Times New Roman" w:cs="Times New Roman"/>
          <w:noProof/>
          <w:sz w:val="2"/>
          <w:szCs w:val="2"/>
          <w:lang w:eastAsia="sk-SK"/>
        </w:rPr>
        <mc:AlternateContent>
          <mc:Choice Requires="wpg">
            <w:drawing>
              <wp:inline distT="0" distB="0" distL="0" distR="0">
                <wp:extent cx="943610" cy="6350"/>
                <wp:effectExtent l="9525" t="9525" r="8890" b="3175"/>
                <wp:docPr id="12"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43610" cy="6350"/>
                          <a:chOff x="0" y="0"/>
                          <a:chExt cx="1486" cy="10"/>
                        </a:xfrm>
                      </wpg:grpSpPr>
                      <wpg:grpSp>
                        <wpg:cNvPr id="13" name="Group 35"/>
                        <wpg:cNvGrpSpPr>
                          <a:grpSpLocks/>
                        </wpg:cNvGrpSpPr>
                        <wpg:grpSpPr bwMode="auto">
                          <a:xfrm>
                            <a:off x="5" y="5"/>
                            <a:ext cx="1476" cy="2"/>
                            <a:chOff x="5" y="5"/>
                            <a:chExt cx="1476" cy="2"/>
                          </a:xfrm>
                        </wpg:grpSpPr>
                        <wps:wsp>
                          <wps:cNvPr id="14" name="Freeform 36"/>
                          <wps:cNvSpPr>
                            <a:spLocks/>
                          </wps:cNvSpPr>
                          <wps:spPr bwMode="auto">
                            <a:xfrm>
                              <a:off x="5" y="5"/>
                              <a:ext cx="1476" cy="2"/>
                            </a:xfrm>
                            <a:custGeom>
                              <a:avLst/>
                              <a:gdLst>
                                <a:gd name="T0" fmla="+- 0 5 5"/>
                                <a:gd name="T1" fmla="*/ T0 w 1476"/>
                                <a:gd name="T2" fmla="+- 0 1481 5"/>
                                <a:gd name="T3" fmla="*/ T2 w 1476"/>
                              </a:gdLst>
                              <a:ahLst/>
                              <a:cxnLst>
                                <a:cxn ang="0">
                                  <a:pos x="T1" y="0"/>
                                </a:cxn>
                                <a:cxn ang="0">
                                  <a:pos x="T3" y="0"/>
                                </a:cxn>
                              </a:cxnLst>
                              <a:rect l="0" t="0" r="r" b="b"/>
                              <a:pathLst>
                                <a:path w="1476">
                                  <a:moveTo>
                                    <a:pt x="0" y="0"/>
                                  </a:moveTo>
                                  <a:lnTo>
                                    <a:pt x="1476" y="0"/>
                                  </a:lnTo>
                                </a:path>
                              </a:pathLst>
                            </a:custGeom>
                            <a:noFill/>
                            <a:ln w="609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id="Group 34" o:spid="_x0000_s1026" style="width:74.3pt;height:.5pt;mso-position-horizontal-relative:char;mso-position-vertical-relative:line" coordsize="148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">
                <v:group id="Group 35" o:spid="_x0000_s1027" style="position:absolute;left:5;top:5;width:1476;height:2" coordorigin="5,5" coordsize="147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shape id="Freeform 36" o:spid="_x0000_s1028" style="position:absolute;left:5;top:5;width:1476;height:2;visibility:visible;mso-wrap-style:square;v-text-anchor:top" coordsize="147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x7Br4A&#10;AADbAAAADwAAAGRycy9kb3ducmV2LnhtbERPzYrCMBC+C75DGMGbJoqIdI2yCMIiXuzuAwzJ2BSb&#10;SW2i1rffCIK3+fh+Z73tfSPu1MU6sIbZVIEgNsHWXGn4+91PViBiQrbYBCYNT4qw3QwHayxsePCJ&#10;7mWqRA7hWKAGl1JbSBmNI49xGlrizJ1D5zFl2FXSdvjI4b6Rc6WW0mPNucFhSztH5lLevAZ/OJqT&#10;a22p1HN+vqrVcXc5GK3Ho/77C0SiPn3Eb/ePzfMX8PolHyA3/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sMewa+AAAA2wAAAA8AAAAAAAAAAAAAAAAAmAIAAGRycy9kb3ducmV2&#10;LnhtbFBLBQYAAAAABAAEAPUAAACDAwAAAAA=&#10;" path="m,l1476,e" filled="f" strokeweight=".16936mm">
                    <v:path arrowok="t" o:connecttype="custom" o:connectlocs="0,0;1476,0" o:connectangles="0,0"/>
                  </v:shape>
                </v:group>
                <w10:anchorlock/>
              </v:group>
            </w:pict>
          </mc:Fallback>
        </mc:AlternateContent>
      </w:r>
    </w:p>
    <w:p w:rsidR="00E1270E" w:rsidRPr="000504B6" w:rsidRDefault="0032000C">
      <w:pPr>
        <w:spacing w:before="76"/>
        <w:ind w:left="1052" w:right="2450"/>
        <w:rPr>
          <w:rFonts w:ascii="Times New Roman" w:eastAsia="Times New Roman" w:hAnsi="Times New Roman" w:cs="Times New Roman"/>
          <w:sz w:val="18"/>
          <w:szCs w:val="18"/>
        </w:rPr>
      </w:pPr>
      <w:r>
        <w:rPr>
          <w:rFonts w:ascii="Times New Roman" w:hAnsi="Times New Roman" w:cs="Times New Roman"/>
          <w:noProof/>
          <w:lang w:eastAsia="sk-SK"/>
        </w:rPr>
        <w:drawing>
          <wp:anchor distT="0" distB="0" distL="114300" distR="114300" simplePos="0" relativeHeight="1096" behindDoc="0" locked="0" layoutInCell="1" allowOverlap="1">
            <wp:simplePos x="0" y="0"/>
            <wp:positionH relativeFrom="page">
              <wp:posOffset>6198870</wp:posOffset>
            </wp:positionH>
            <wp:positionV relativeFrom="paragraph">
              <wp:posOffset>172085</wp:posOffset>
            </wp:positionV>
            <wp:extent cx="638175" cy="638175"/>
            <wp:effectExtent l="0" t="0" r="9525" b="9525"/>
            <wp:wrapNone/>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38175" cy="638175"/>
                    </a:xfrm>
                    <a:prstGeom prst="rect">
                      <a:avLst/>
                    </a:prstGeom>
                    <a:noFill/>
                  </pic:spPr>
                </pic:pic>
              </a:graphicData>
            </a:graphic>
            <wp14:sizeRelH relativeFrom="page">
              <wp14:pctWidth>0</wp14:pctWidth>
            </wp14:sizeRelH>
            <wp14:sizeRelV relativeFrom="page">
              <wp14:pctHeight>0</wp14:pctHeight>
            </wp14:sizeRelV>
          </wp:anchor>
        </w:drawing>
      </w:r>
      <w:r w:rsidR="00372608" w:rsidRPr="000504B6">
        <w:rPr>
          <w:rFonts w:ascii="Times New Roman" w:hAnsi="Times New Roman" w:cs="Times New Roman"/>
          <w:sz w:val="20"/>
          <w:szCs w:val="20"/>
        </w:rPr>
        <w:t xml:space="preserve">* </w:t>
      </w:r>
      <w:r w:rsidR="00372608" w:rsidRPr="000504B6">
        <w:rPr>
          <w:rFonts w:ascii="Times New Roman" w:hAnsi="Times New Roman" w:cs="Times New Roman"/>
          <w:sz w:val="18"/>
          <w:szCs w:val="18"/>
        </w:rPr>
        <w:t>Prijaté výborom na devätnástom zasadnutí (14. februára – 9. marca 2018).</w:t>
      </w:r>
    </w:p>
    <w:p w:rsidR="00E1270E" w:rsidRPr="000504B6" w:rsidRDefault="008832F4">
      <w:pPr>
        <w:pStyle w:val="Zkladntext"/>
        <w:spacing w:before="178" w:line="182" w:lineRule="exact"/>
        <w:ind w:left="132" w:right="2450"/>
        <w:rPr>
          <w:rFonts w:cs="Times New Roman"/>
        </w:rPr>
      </w:pPr>
      <w:r w:rsidRPr="000504B6">
        <w:rPr>
          <w:rFonts w:cs="Times New Roman"/>
        </w:rPr>
        <w:t>GE.18-06662(E)</w:t>
      </w:r>
    </w:p>
    <w:p w:rsidR="00E1270E" w:rsidRPr="000504B6" w:rsidRDefault="00372608">
      <w:pPr>
        <w:spacing w:line="596" w:lineRule="exact"/>
        <w:ind w:left="132" w:right="2450"/>
        <w:rPr>
          <w:rFonts w:ascii="Times New Roman" w:eastAsia="Arial" w:hAnsi="Times New Roman" w:cs="Times New Roman"/>
          <w:sz w:val="56"/>
          <w:szCs w:val="56"/>
        </w:rPr>
      </w:pPr>
      <w:r w:rsidRPr="000504B6">
        <w:rPr>
          <w:rFonts w:ascii="Times New Roman" w:hAnsi="Times New Roman" w:cs="Times New Roman"/>
          <w:sz w:val="56"/>
          <w:szCs w:val="56"/>
        </w:rPr>
        <w:t></w:t>
      </w:r>
      <w:r w:rsidRPr="000504B6">
        <w:rPr>
          <w:rFonts w:ascii="Times New Roman" w:hAnsi="Times New Roman" w:cs="Times New Roman"/>
          <w:sz w:val="56"/>
          <w:szCs w:val="56"/>
        </w:rPr>
        <w:t></w:t>
      </w:r>
      <w:r w:rsidRPr="000504B6">
        <w:rPr>
          <w:rFonts w:ascii="Times New Roman" w:hAnsi="Times New Roman" w:cs="Times New Roman"/>
          <w:sz w:val="56"/>
          <w:szCs w:val="56"/>
        </w:rPr>
        <w:t></w:t>
      </w:r>
      <w:r w:rsidRPr="000504B6">
        <w:rPr>
          <w:rFonts w:ascii="Times New Roman" w:hAnsi="Times New Roman" w:cs="Times New Roman"/>
          <w:sz w:val="56"/>
          <w:szCs w:val="56"/>
        </w:rPr>
        <w:t></w:t>
      </w:r>
      <w:r w:rsidRPr="000504B6">
        <w:rPr>
          <w:rFonts w:ascii="Times New Roman" w:hAnsi="Times New Roman" w:cs="Times New Roman"/>
          <w:sz w:val="56"/>
          <w:szCs w:val="56"/>
        </w:rPr>
        <w:t></w:t>
      </w:r>
      <w:r w:rsidRPr="000504B6">
        <w:rPr>
          <w:rFonts w:ascii="Times New Roman" w:hAnsi="Times New Roman" w:cs="Times New Roman"/>
          <w:sz w:val="56"/>
          <w:szCs w:val="56"/>
        </w:rPr>
        <w:t></w:t>
      </w:r>
      <w:r w:rsidRPr="000504B6">
        <w:rPr>
          <w:rFonts w:ascii="Times New Roman" w:hAnsi="Times New Roman" w:cs="Times New Roman"/>
          <w:sz w:val="56"/>
          <w:szCs w:val="56"/>
        </w:rPr>
        <w:t></w:t>
      </w:r>
      <w:r w:rsidRPr="000504B6">
        <w:rPr>
          <w:rFonts w:ascii="Times New Roman" w:hAnsi="Times New Roman" w:cs="Times New Roman"/>
          <w:sz w:val="56"/>
          <w:szCs w:val="56"/>
        </w:rPr>
        <w:t></w:t>
      </w:r>
      <w:r w:rsidRPr="000504B6">
        <w:rPr>
          <w:rFonts w:ascii="Times New Roman" w:hAnsi="Times New Roman" w:cs="Times New Roman"/>
          <w:sz w:val="56"/>
          <w:szCs w:val="56"/>
        </w:rPr>
        <w:t></w:t>
      </w:r>
    </w:p>
    <w:p w:rsidR="00E1270E" w:rsidRPr="000504B6" w:rsidRDefault="00E1270E">
      <w:pPr>
        <w:spacing w:line="596" w:lineRule="exact"/>
        <w:rPr>
          <w:rFonts w:ascii="Times New Roman" w:eastAsia="Arial" w:hAnsi="Times New Roman" w:cs="Times New Roman"/>
          <w:sz w:val="56"/>
          <w:szCs w:val="56"/>
        </w:rPr>
        <w:sectPr w:rsidR="00E1270E" w:rsidRPr="000504B6">
          <w:type w:val="continuous"/>
          <w:pgSz w:w="11910" w:h="16850"/>
          <w:pgMar w:top="620" w:right="1000" w:bottom="280" w:left="1000" w:header="708" w:footer="708" w:gutter="0"/>
          <w:cols w:space="708"/>
        </w:sectPr>
      </w:pPr>
    </w:p>
    <w:p w:rsidR="00E1270E" w:rsidRPr="000504B6" w:rsidRDefault="00E1270E">
      <w:pPr>
        <w:spacing w:before="5"/>
        <w:rPr>
          <w:rFonts w:ascii="Times New Roman" w:eastAsia="Arial" w:hAnsi="Times New Roman" w:cs="Times New Roman"/>
          <w:sz w:val="17"/>
          <w:szCs w:val="17"/>
        </w:rPr>
      </w:pPr>
    </w:p>
    <w:p w:rsidR="00E1270E" w:rsidRPr="000504B6" w:rsidRDefault="008832F4">
      <w:pPr>
        <w:pStyle w:val="Odsekzoznamu"/>
        <w:numPr>
          <w:ilvl w:val="0"/>
          <w:numId w:val="4"/>
        </w:numPr>
        <w:tabs>
          <w:tab w:val="left" w:pos="1855"/>
        </w:tabs>
        <w:spacing w:before="73" w:line="249" w:lineRule="auto"/>
        <w:ind w:left="1286" w:right="1288" w:firstLine="0"/>
        <w:jc w:val="both"/>
        <w:rPr>
          <w:rFonts w:ascii="Times New Roman" w:eastAsia="Times New Roman" w:hAnsi="Times New Roman" w:cs="Times New Roman"/>
          <w:sz w:val="20"/>
          <w:szCs w:val="20"/>
        </w:rPr>
      </w:pPr>
      <w:r w:rsidRPr="000504B6">
        <w:rPr>
          <w:rFonts w:ascii="Times New Roman" w:hAnsi="Times New Roman" w:cs="Times New Roman"/>
          <w:sz w:val="20"/>
        </w:rPr>
        <w:t>Rovnosť a nediskriminácia sú podstatou všetkých medzinárodných zmlúv o ľudských právach. Medzinárodný pakt o občianskych a politických právach a Medzinárodný pakt o hospodárskych, sociálnych a kultúrnych právach zakazujú diskrimináciu na základe verejného zoznamu dôvodov, z ktorého vychádza aj článok 5 dohovoru. Všetky tematické dohovory OSN o ľudských právach</w:t>
      </w:r>
      <w:r w:rsidR="000504B6">
        <w:rPr>
          <w:rStyle w:val="Odkaznapoznmkupodiarou"/>
          <w:rFonts w:ascii="Times New Roman" w:hAnsi="Times New Roman" w:cs="Times New Roman"/>
          <w:sz w:val="20"/>
        </w:rPr>
        <w:footnoteReference w:id="1"/>
      </w:r>
      <w:r w:rsidRPr="000504B6">
        <w:rPr>
          <w:rFonts w:ascii="Times New Roman" w:hAnsi="Times New Roman" w:cs="Times New Roman"/>
          <w:sz w:val="12"/>
        </w:rPr>
        <w:t xml:space="preserve"> </w:t>
      </w:r>
      <w:r w:rsidRPr="000504B6">
        <w:rPr>
          <w:rFonts w:ascii="Times New Roman" w:hAnsi="Times New Roman" w:cs="Times New Roman"/>
        </w:rPr>
        <w:t>sa zameriavajú</w:t>
      </w:r>
      <w:r w:rsidRPr="000504B6">
        <w:rPr>
          <w:rFonts w:ascii="Times New Roman" w:hAnsi="Times New Roman" w:cs="Times New Roman"/>
          <w:sz w:val="20"/>
        </w:rPr>
        <w:t xml:space="preserve"> na dosiahnutie rovnosti a odstránenie diskriminácie, pričom obsahujú s tým súvisiace ustanovenia. V Dohovore o právach osôb so zdravotným postihnutím sa zohľadňujú skúsenosti upravené v iných dohovoroch, pričom jeho zásady rovnosti a nediskriminácie predstavujú rozvíjanie tradície a prístupu OSN.</w:t>
      </w:r>
    </w:p>
    <w:p w:rsidR="00E1270E" w:rsidRPr="000504B6" w:rsidRDefault="008832F4">
      <w:pPr>
        <w:pStyle w:val="Odsekzoznamu"/>
        <w:numPr>
          <w:ilvl w:val="0"/>
          <w:numId w:val="4"/>
        </w:numPr>
        <w:tabs>
          <w:tab w:val="left" w:pos="1855"/>
        </w:tabs>
        <w:spacing w:before="121" w:line="249" w:lineRule="auto"/>
        <w:ind w:left="1286" w:right="1285" w:firstLine="0"/>
        <w:jc w:val="both"/>
        <w:rPr>
          <w:rFonts w:ascii="Times New Roman" w:eastAsia="Times New Roman" w:hAnsi="Times New Roman" w:cs="Times New Roman"/>
          <w:sz w:val="20"/>
          <w:szCs w:val="20"/>
        </w:rPr>
      </w:pPr>
      <w:r w:rsidRPr="000504B6">
        <w:rPr>
          <w:rFonts w:ascii="Times New Roman" w:hAnsi="Times New Roman" w:cs="Times New Roman"/>
          <w:sz w:val="20"/>
          <w:szCs w:val="20"/>
        </w:rPr>
        <w:t>Pojem „dôstojnosť“ sa v tomto dohovore objavuje častejšie ako v akomkoľvek inom dohovore OSN o ľudských právach. Nachádza sa aj v preambule, v ktorej sa zmluvné štáty opätovne odvolávajú na Chartu Organizácie Spojených národov a v nej zdôraznené princípy, ktoré uznávajú vrodenú dôstojnosť a hodnotu, ako aj rovnaké a nescudziteľné práva všetkých členov ľudského spoločenstva ako základ slobody, spravodlivosti a mieru vo svete.</w:t>
      </w:r>
    </w:p>
    <w:p w:rsidR="00E1270E" w:rsidRPr="000504B6" w:rsidRDefault="008832F4">
      <w:pPr>
        <w:pStyle w:val="Odsekzoznamu"/>
        <w:numPr>
          <w:ilvl w:val="0"/>
          <w:numId w:val="4"/>
        </w:numPr>
        <w:tabs>
          <w:tab w:val="left" w:pos="1855"/>
        </w:tabs>
        <w:spacing w:before="121" w:line="249" w:lineRule="auto"/>
        <w:ind w:left="1286" w:right="1286" w:firstLine="0"/>
        <w:jc w:val="both"/>
        <w:rPr>
          <w:rFonts w:ascii="Times New Roman" w:eastAsia="Times New Roman" w:hAnsi="Times New Roman" w:cs="Times New Roman"/>
          <w:sz w:val="20"/>
          <w:szCs w:val="20"/>
        </w:rPr>
      </w:pPr>
      <w:r w:rsidRPr="000504B6">
        <w:rPr>
          <w:rFonts w:ascii="Times New Roman" w:hAnsi="Times New Roman" w:cs="Times New Roman"/>
          <w:sz w:val="20"/>
          <w:szCs w:val="20"/>
        </w:rPr>
        <w:t>Rovnosť a nediskriminácia predstavujú ústrednú tému dohovoru, dôsledne zakotvenú vo všetkých jeho dôležitých článkoch opakovaným používaním spojenia „na rovnakom základe s ostatnými“, ktoré spája všetky hmotné práva dohovoru s princípom nediskriminácie. Dôstojnosť, integrita a rovnosť boli odopreté tým osobám, ktoré majú skutočnú alebo vnímanú zdravotnú poruchu. Diskriminácia sa vyskytla a naďalej pretrváva aj v brutálnej forme, napríklad ako nedobrovoľné a/alebo nútené systematické sterilizácie a zákroky založené na lekárskych alebo hormonálnych zásahoch (napr. lobotómia alebo kontroverzné postupy známe ako „the Ashley treatment“, ktoré sa použili na liečbu dievčatka zo Seattlu menom Ashley), nútené podávanie drog a nútené elektrošoky, obmedzovanie voľného pohybu, systematické vraždenie označené ako „eutanázia“, nútené a nedobrovoľné potraty, odopieranie prístupu k zdravotnej starostlivosti, ako aj zmrzačovanie a obchodovanie s časťami tela, najmä u osôb s albinizmom.</w:t>
      </w:r>
    </w:p>
    <w:p w:rsidR="00E1270E" w:rsidRPr="000504B6" w:rsidRDefault="00E1270E">
      <w:pPr>
        <w:spacing w:before="1"/>
        <w:rPr>
          <w:rFonts w:ascii="Times New Roman" w:eastAsia="Times New Roman" w:hAnsi="Times New Roman" w:cs="Times New Roman"/>
          <w:sz w:val="29"/>
          <w:szCs w:val="29"/>
        </w:rPr>
      </w:pPr>
    </w:p>
    <w:p w:rsidR="00E1270E" w:rsidRPr="000504B6" w:rsidRDefault="008832F4">
      <w:pPr>
        <w:pStyle w:val="Nadpis1"/>
        <w:numPr>
          <w:ilvl w:val="0"/>
          <w:numId w:val="5"/>
        </w:numPr>
        <w:tabs>
          <w:tab w:val="left" w:pos="1286"/>
        </w:tabs>
        <w:ind w:left="1286" w:right="1311" w:hanging="677"/>
        <w:jc w:val="left"/>
        <w:rPr>
          <w:rFonts w:cs="Times New Roman"/>
          <w:b w:val="0"/>
          <w:bCs w:val="0"/>
        </w:rPr>
      </w:pPr>
      <w:r w:rsidRPr="000504B6">
        <w:rPr>
          <w:rFonts w:cs="Times New Roman"/>
        </w:rPr>
        <w:t>Model riešiaci problematiku zdravotného postihnutia na základe ľudských práv a inkluzívnej rovnosti</w:t>
      </w:r>
    </w:p>
    <w:p w:rsidR="00E1270E" w:rsidRPr="000504B6" w:rsidRDefault="008832F4">
      <w:pPr>
        <w:pStyle w:val="Odsekzoznamu"/>
        <w:numPr>
          <w:ilvl w:val="0"/>
          <w:numId w:val="4"/>
        </w:numPr>
        <w:tabs>
          <w:tab w:val="left" w:pos="1855"/>
        </w:tabs>
        <w:spacing w:before="244" w:line="249" w:lineRule="auto"/>
        <w:ind w:left="1286" w:right="1284" w:firstLine="0"/>
        <w:jc w:val="both"/>
        <w:rPr>
          <w:rFonts w:ascii="Times New Roman" w:eastAsia="Times New Roman" w:hAnsi="Times New Roman" w:cs="Times New Roman"/>
          <w:sz w:val="20"/>
          <w:szCs w:val="20"/>
        </w:rPr>
      </w:pPr>
      <w:r w:rsidRPr="000504B6">
        <w:rPr>
          <w:rFonts w:ascii="Times New Roman" w:hAnsi="Times New Roman" w:cs="Times New Roman"/>
          <w:sz w:val="20"/>
          <w:szCs w:val="20"/>
        </w:rPr>
        <w:t>Individuálne alebo medicínske modely zdravotného postihnutia zabraňujú uplatňovaniu zásady rovnosti u osôb so zdravotným postihnutím. V rámci medicínskeho modelu zdravotného postihnutia sa osoby so zdravotným postihnutím neuznávajú ako držitelia práv. Práve naopak, tento model ich vníma obmedzujúco, t. j. len v kontexte ich zdravotnej poruchy. V rámci týchto modelov sa diskriminačné alebo rozdielne zaobchádzanie s osobami so zdravotným postihnutím, ako aj ich vylúčenie považujú za obvyklé, pričom ich oficiálne povoľuje medicínsky nespôsobilý prístup k problematike zdravotného postihnutia. Individuálne alebo medicínske modely sa použili pri stanovovaní prvých medzinárodných právnych predpisov a politík týkajúcich sa zdravotného postihnutia, a to aj po prvých pokusoch o uplatnenie pojmu rovnosti v kontexte zdravotného postihnutia. Deklarácia práv mentálne retardovaných osôb (1971) a Deklarácia o právach osôb so zdravotným postihnutím (1975) boli prvými dokumentmi v oblasti ľudských práv, ktoré obsahovali ustanovenia o rovnosti a nediskriminácii osôb so zdravotným postihnutím. Aj keď tieto prvé usmernenia a pokyny (tzv. soft law dokumenty) v oblasti ľudských práv pripravili pôdu pre prístup k problematike zdravotného postihnutia na základe princípu rovnosti, stále vychádzali z jeho medicínskeho modelu, pretože zdravotná porucha sa považovala za legitímny dôvod obmedzenia alebo popierania práv. Takisto používajú jazyk, ktorý sa v súčasnosti pokladá za nevhodný alebo zastaraný. Ďalšie opatrenie sa vykonalo v roku 1993 prijatím Štandardných pravidiel na vyrovnávanie príležitostí pre osoby so zdravotným osôb, v ktorých sa zdôrazňovala „rovnosť príležitostí“ ako základný pojem politiky a právnych predpisov v oblasti zdravotného postihnutia.</w:t>
      </w:r>
    </w:p>
    <w:p w:rsidR="00E1270E" w:rsidRPr="000504B6" w:rsidRDefault="008832F4">
      <w:pPr>
        <w:pStyle w:val="Odsekzoznamu"/>
        <w:numPr>
          <w:ilvl w:val="0"/>
          <w:numId w:val="4"/>
        </w:numPr>
        <w:tabs>
          <w:tab w:val="left" w:pos="1855"/>
        </w:tabs>
        <w:spacing w:before="121" w:line="249" w:lineRule="auto"/>
        <w:ind w:left="1286" w:right="1288" w:firstLine="0"/>
        <w:jc w:val="both"/>
        <w:rPr>
          <w:rFonts w:ascii="Times New Roman" w:eastAsia="Times New Roman" w:hAnsi="Times New Roman" w:cs="Times New Roman"/>
          <w:sz w:val="20"/>
          <w:szCs w:val="20"/>
        </w:rPr>
      </w:pPr>
      <w:r w:rsidRPr="000504B6">
        <w:rPr>
          <w:rFonts w:ascii="Times New Roman" w:hAnsi="Times New Roman" w:cs="Times New Roman"/>
          <w:sz w:val="20"/>
        </w:rPr>
        <w:t xml:space="preserve">Model riešiaci problematiku zdravotného postihnutia na základe ľudských práv </w:t>
      </w:r>
      <w:r w:rsidRPr="000504B6">
        <w:rPr>
          <w:rFonts w:ascii="Times New Roman" w:hAnsi="Times New Roman" w:cs="Times New Roman"/>
          <w:sz w:val="20"/>
        </w:rPr>
        <w:lastRenderedPageBreak/>
        <w:t>potvrdzuje, že zdravotné postihnutie je sociálnym konceptom s tým, že zdravotné poruchy sa nesmú považovať za legitímny dôvod popierania alebo obmedzenia ľudských práv. Tento model uznáva, že zdravotné postihnutie je jednou z viacerých vrstiev identity. Práve z tohto dôvodu musia právne predpisy a politiky v oblasti zdravotného postihnutia zohľadňovať rozmanitosť osôb so zdravotným postihnutím. Daný model taktiež uznáva, že ľudské práva sú navzájom prepojené, t. j. vzájomne spolu súvisia a sú nedeliteľné.</w:t>
      </w:r>
    </w:p>
    <w:p w:rsidR="00E1270E" w:rsidRPr="000504B6" w:rsidRDefault="008832F4">
      <w:pPr>
        <w:pStyle w:val="Odsekzoznamu"/>
        <w:numPr>
          <w:ilvl w:val="0"/>
          <w:numId w:val="4"/>
        </w:numPr>
        <w:tabs>
          <w:tab w:val="left" w:pos="1855"/>
        </w:tabs>
        <w:spacing w:before="73" w:line="249" w:lineRule="auto"/>
        <w:ind w:left="1286" w:right="1287" w:firstLine="0"/>
        <w:jc w:val="both"/>
        <w:rPr>
          <w:rFonts w:ascii="Times New Roman" w:eastAsia="Times New Roman" w:hAnsi="Times New Roman" w:cs="Times New Roman"/>
          <w:sz w:val="20"/>
          <w:szCs w:val="20"/>
        </w:rPr>
      </w:pPr>
      <w:r w:rsidRPr="000504B6">
        <w:rPr>
          <w:rFonts w:ascii="Times New Roman" w:hAnsi="Times New Roman" w:cs="Times New Roman"/>
          <w:sz w:val="20"/>
          <w:szCs w:val="20"/>
        </w:rPr>
        <w:t>Vyrovnávanie príležitostí ako všeobecná zásada dohovoru podľa článku 3 predstavuje významný posun od modelu formálnej rovnosti k modelu materiálnej rovnosti. Formálna rovnosť sa snaží bojovať proti priamej diskriminácii tým, že podporuje rovnaké zaobchádzanie s osobami v podobnej situácii. Aj keď môže pomôcť v boji proti negatívnym stereotypom a predsudkom, nedokáže však ponúknuť riešenia „dilemy rozdielnosti“, pretože nezohľadňuje, resp. nezahŕňa rozdiely medzi ľuďmi. Materiálna rovnosť sa naopak zameriava aj na riešenie štrukturálnej a nepriamej diskriminácie, pričom zohľadňuje mocenské vzťahy. Uznáva, že „dilema rozdielnosti“ má za následok ignorovanie a uznávanie rozdielov medzi ľuďmi na dosiahnutie rovnosti.</w:t>
      </w:r>
    </w:p>
    <w:p w:rsidR="00E1270E" w:rsidRPr="000504B6" w:rsidRDefault="008832F4">
      <w:pPr>
        <w:pStyle w:val="Odsekzoznamu"/>
        <w:numPr>
          <w:ilvl w:val="0"/>
          <w:numId w:val="4"/>
        </w:numPr>
        <w:tabs>
          <w:tab w:val="left" w:pos="1855"/>
        </w:tabs>
        <w:spacing w:before="121" w:line="249" w:lineRule="auto"/>
        <w:ind w:left="1286" w:right="1287" w:firstLine="0"/>
        <w:jc w:val="both"/>
        <w:rPr>
          <w:rFonts w:ascii="Times New Roman" w:eastAsia="Times New Roman" w:hAnsi="Times New Roman" w:cs="Times New Roman"/>
          <w:sz w:val="20"/>
          <w:szCs w:val="20"/>
        </w:rPr>
      </w:pPr>
      <w:r w:rsidRPr="000504B6">
        <w:rPr>
          <w:rFonts w:ascii="Times New Roman" w:hAnsi="Times New Roman" w:cs="Times New Roman"/>
          <w:sz w:val="20"/>
        </w:rPr>
        <w:t>Inkluzívna rovnosť je novým modelom rovnosti rozpracovaným v rámci dohovoru. Zahŕňa model materiálnej rovnosti, pričom rozširuje a rozpracúva obsah pojmu rovnosti z hľadiska: a) spravodlivej redistribúcie na riešenie sociálno-ekonomických nevýhod; b) uznania na účely boja proti stigmatizácii, stereotypom, predsudkom a násiliu a akceptáciu dôstojnosti človeka a jeho prierezovosti; c) participácie na opätovné potvrdenie sociálneho chápania ľudí ako členov spoločenských skupín a plné uznanie ľudskej prirodzenosti a príslušnosti prostredníctvom začleňovania do spoločnosti a d) primeraných úprav na vytvorenie priestoru pre rozdielnosť ako záležitosť ľudskej dôstojnosti. Dohovor je založený na princípe inkluzívnej rovnosti.</w:t>
      </w:r>
    </w:p>
    <w:p w:rsidR="00E1270E" w:rsidRPr="000504B6" w:rsidRDefault="00E1270E">
      <w:pPr>
        <w:spacing w:before="1"/>
        <w:rPr>
          <w:rFonts w:ascii="Times New Roman" w:eastAsia="Times New Roman" w:hAnsi="Times New Roman" w:cs="Times New Roman"/>
          <w:sz w:val="29"/>
          <w:szCs w:val="29"/>
        </w:rPr>
      </w:pPr>
    </w:p>
    <w:p w:rsidR="00E1270E" w:rsidRPr="000504B6" w:rsidRDefault="008832F4">
      <w:pPr>
        <w:pStyle w:val="Nadpis1"/>
        <w:numPr>
          <w:ilvl w:val="0"/>
          <w:numId w:val="5"/>
        </w:numPr>
        <w:tabs>
          <w:tab w:val="left" w:pos="1286"/>
        </w:tabs>
        <w:ind w:left="1286" w:right="1311" w:hanging="663"/>
        <w:jc w:val="left"/>
        <w:rPr>
          <w:rFonts w:cs="Times New Roman"/>
          <w:b w:val="0"/>
          <w:bCs w:val="0"/>
        </w:rPr>
      </w:pPr>
      <w:r w:rsidRPr="000504B6">
        <w:rPr>
          <w:rFonts w:cs="Times New Roman"/>
        </w:rPr>
        <w:t>Právny charakter nediskriminácie a rovnosti</w:t>
      </w:r>
    </w:p>
    <w:p w:rsidR="00E1270E" w:rsidRPr="000504B6" w:rsidRDefault="008832F4">
      <w:pPr>
        <w:pStyle w:val="Odsekzoznamu"/>
        <w:numPr>
          <w:ilvl w:val="0"/>
          <w:numId w:val="4"/>
        </w:numPr>
        <w:tabs>
          <w:tab w:val="left" w:pos="1855"/>
        </w:tabs>
        <w:spacing w:before="244" w:line="249" w:lineRule="auto"/>
        <w:ind w:left="1286" w:right="1285" w:firstLine="0"/>
        <w:jc w:val="both"/>
        <w:rPr>
          <w:rFonts w:ascii="Times New Roman" w:eastAsia="Times New Roman" w:hAnsi="Times New Roman" w:cs="Times New Roman"/>
          <w:sz w:val="20"/>
          <w:szCs w:val="20"/>
        </w:rPr>
      </w:pPr>
      <w:r w:rsidRPr="000504B6">
        <w:rPr>
          <w:rFonts w:ascii="Times New Roman" w:hAnsi="Times New Roman" w:cs="Times New Roman"/>
          <w:sz w:val="20"/>
        </w:rPr>
        <w:t>Rovnosť a nediskriminácia predstavujú zásady a práva. Dohovor o nich hovorí v článku 3 ako o zásadách a v článku 5 ako o právach. Zároveň sú aj interpretačným nástrojom všetkých ostatných zásad a práv zakotvených v dohovore. Zásady/práva rovnosti a nediskriminácie sú „základným kameňom“ medzinárodnej ochrany zaručenej v dohovore. Podpora rovnosti a boj proti diskriminácii sú prierezovými povinnosťami okamžitej realizácie. Takisto nie sú podmienené progresívnou realizáciou.</w:t>
      </w:r>
    </w:p>
    <w:p w:rsidR="00E1270E" w:rsidRPr="000504B6" w:rsidRDefault="008832F4">
      <w:pPr>
        <w:pStyle w:val="Odsekzoznamu"/>
        <w:numPr>
          <w:ilvl w:val="0"/>
          <w:numId w:val="4"/>
        </w:numPr>
        <w:tabs>
          <w:tab w:val="left" w:pos="1855"/>
        </w:tabs>
        <w:spacing w:before="121" w:line="249" w:lineRule="auto"/>
        <w:ind w:left="1286" w:right="1291" w:firstLine="0"/>
        <w:jc w:val="both"/>
        <w:rPr>
          <w:rFonts w:ascii="Times New Roman" w:eastAsia="Times New Roman" w:hAnsi="Times New Roman" w:cs="Times New Roman"/>
          <w:sz w:val="20"/>
          <w:szCs w:val="20"/>
        </w:rPr>
      </w:pPr>
      <w:r w:rsidRPr="000504B6">
        <w:rPr>
          <w:rFonts w:ascii="Times New Roman" w:hAnsi="Times New Roman" w:cs="Times New Roman"/>
          <w:sz w:val="20"/>
        </w:rPr>
        <w:t>Článok 5 dohovoru, podobne ako článok 26 Medzinárodného paktu o občianskych a politických právach, poskytuje sám o sebe samostatné právo nezávislé od iných ustanovení. Zakazuje de jure alebo de facto diskrimináciu v akejkoľvek oblasti regulovanej a chránenej verejným orgánom. Spoločne so znením článku 4 ods. 1 písm. e) je tiež zrejmé, že sa dotýka súkromného sektora.</w:t>
      </w:r>
    </w:p>
    <w:p w:rsidR="00E1270E" w:rsidRPr="000504B6" w:rsidRDefault="00E1270E">
      <w:pPr>
        <w:spacing w:before="1"/>
        <w:rPr>
          <w:rFonts w:ascii="Times New Roman" w:eastAsia="Times New Roman" w:hAnsi="Times New Roman" w:cs="Times New Roman"/>
          <w:sz w:val="29"/>
          <w:szCs w:val="29"/>
        </w:rPr>
      </w:pPr>
    </w:p>
    <w:p w:rsidR="00E1270E" w:rsidRPr="000504B6" w:rsidRDefault="008832F4">
      <w:pPr>
        <w:pStyle w:val="Nadpis1"/>
        <w:numPr>
          <w:ilvl w:val="0"/>
          <w:numId w:val="5"/>
        </w:numPr>
        <w:tabs>
          <w:tab w:val="left" w:pos="1286"/>
        </w:tabs>
        <w:ind w:left="1286" w:right="1311" w:hanging="552"/>
        <w:jc w:val="left"/>
        <w:rPr>
          <w:rFonts w:cs="Times New Roman"/>
          <w:b w:val="0"/>
          <w:bCs w:val="0"/>
        </w:rPr>
      </w:pPr>
      <w:r w:rsidRPr="000504B6">
        <w:rPr>
          <w:rFonts w:cs="Times New Roman"/>
        </w:rPr>
        <w:t>Normatívny obsah</w:t>
      </w:r>
    </w:p>
    <w:p w:rsidR="00E1270E" w:rsidRPr="000504B6" w:rsidRDefault="00E1270E">
      <w:pPr>
        <w:spacing w:before="9"/>
        <w:rPr>
          <w:rFonts w:ascii="Times New Roman" w:eastAsia="Times New Roman" w:hAnsi="Times New Roman" w:cs="Times New Roman"/>
          <w:b/>
          <w:bCs/>
          <w:sz w:val="30"/>
          <w:szCs w:val="30"/>
        </w:rPr>
      </w:pPr>
    </w:p>
    <w:p w:rsidR="00E1270E" w:rsidRPr="000504B6" w:rsidRDefault="008832F4">
      <w:pPr>
        <w:pStyle w:val="Nadpis2"/>
        <w:numPr>
          <w:ilvl w:val="0"/>
          <w:numId w:val="3"/>
        </w:numPr>
        <w:tabs>
          <w:tab w:val="left" w:pos="1286"/>
        </w:tabs>
        <w:spacing w:before="0"/>
        <w:ind w:right="1311"/>
        <w:rPr>
          <w:rFonts w:cs="Times New Roman"/>
          <w:b w:val="0"/>
          <w:bCs w:val="0"/>
        </w:rPr>
      </w:pPr>
      <w:r w:rsidRPr="000504B6">
        <w:rPr>
          <w:rFonts w:cs="Times New Roman"/>
        </w:rPr>
        <w:t>Článok 5 ods. 1 o rovnosti pred zákonom a podľa zákona</w:t>
      </w:r>
    </w:p>
    <w:p w:rsidR="00E1270E" w:rsidRPr="000504B6" w:rsidRDefault="00E1270E">
      <w:pPr>
        <w:spacing w:before="5"/>
        <w:rPr>
          <w:rFonts w:ascii="Times New Roman" w:eastAsia="Times New Roman" w:hAnsi="Times New Roman" w:cs="Times New Roman"/>
          <w:b/>
          <w:bCs/>
          <w:sz w:val="21"/>
          <w:szCs w:val="21"/>
        </w:rPr>
      </w:pPr>
    </w:p>
    <w:p w:rsidR="00E1270E" w:rsidRPr="000504B6" w:rsidRDefault="008832F4">
      <w:pPr>
        <w:pStyle w:val="Odsekzoznamu"/>
        <w:numPr>
          <w:ilvl w:val="0"/>
          <w:numId w:val="4"/>
        </w:numPr>
        <w:tabs>
          <w:tab w:val="left" w:pos="1855"/>
        </w:tabs>
        <w:spacing w:line="249" w:lineRule="auto"/>
        <w:ind w:left="1286" w:right="1286" w:firstLine="0"/>
        <w:jc w:val="both"/>
        <w:rPr>
          <w:rFonts w:ascii="Times New Roman" w:eastAsia="Times New Roman" w:hAnsi="Times New Roman" w:cs="Times New Roman"/>
          <w:sz w:val="20"/>
          <w:szCs w:val="20"/>
        </w:rPr>
      </w:pPr>
      <w:r w:rsidRPr="000504B6">
        <w:rPr>
          <w:rFonts w:ascii="Times New Roman" w:hAnsi="Times New Roman" w:cs="Times New Roman"/>
          <w:sz w:val="20"/>
          <w:szCs w:val="20"/>
        </w:rPr>
        <w:t>Niekoľko medzinárodných zmlúv o ľudských právach obsahuje spojenie „rovný pred zákonom“, ktoré opisuje oprávnenie osôb na rovnaké zaobchádzanie v rámci práva aj pri jeho uplatňovaní. Na vykonávanie tohto práva v plnom rozsahu nesmú súdni a bezpečnostní činitelia diskriminovať osoby so zdravotným postihnutím pri presadzovaní spravodlivosti. „Rovnosť podľa zákona“ je pre Dohovor príznačná. Odkazuje na možnosť účasti v právnych vzťahoch. Aj keď rovnosť pred zákonom hovorí o práve na ochranu zo zákona, rovnosť podľa zákona opisuje právo používať zákon na účely osobného prospechu. Osoby so zdravotným postihnutím majú právo na účinnú ochranu a pozitívnu účasť. Zákon ako taký zaručuje materiálnu rovnosť všetkých osôb v danej jurisdikcii. Uznanie rovnosti všetkých osôb so zdravotným postihnutím podľa zákona preto znamená, že by nemali existovať žiadne právne predpisy, ktoré by umožňovali špecifické odmietanie, obmedzovanie alebo ohraničovanie práv osôb so zdravotným postihnutím, pričom by sa problematika zdravotného postihnutia mala začleniť do všetkých právnych predpisov a politík.</w:t>
      </w:r>
    </w:p>
    <w:p w:rsidR="00E1270E" w:rsidRPr="000504B6" w:rsidRDefault="008832F4" w:rsidP="000504B6">
      <w:pPr>
        <w:pStyle w:val="Odsekzoznamu"/>
        <w:numPr>
          <w:ilvl w:val="0"/>
          <w:numId w:val="4"/>
        </w:numPr>
        <w:tabs>
          <w:tab w:val="left" w:pos="1855"/>
        </w:tabs>
        <w:spacing w:before="73" w:line="249" w:lineRule="auto"/>
        <w:ind w:left="1286" w:right="1297" w:firstLine="0"/>
        <w:jc w:val="both"/>
        <w:rPr>
          <w:rFonts w:ascii="Times New Roman" w:hAnsi="Times New Roman" w:cs="Times New Roman"/>
        </w:rPr>
      </w:pPr>
      <w:r w:rsidRPr="000504B6">
        <w:rPr>
          <w:rFonts w:ascii="Times New Roman" w:hAnsi="Times New Roman" w:cs="Times New Roman"/>
          <w:sz w:val="20"/>
          <w:szCs w:val="20"/>
        </w:rPr>
        <w:t xml:space="preserve">Tento výklad spojení „rovnosť pred zákonom“ a „rovnosť podľa zákona“ je v súlade </w:t>
      </w:r>
      <w:r w:rsidRPr="000504B6">
        <w:rPr>
          <w:rFonts w:ascii="Times New Roman" w:hAnsi="Times New Roman" w:cs="Times New Roman"/>
          <w:sz w:val="20"/>
          <w:szCs w:val="20"/>
        </w:rPr>
        <w:lastRenderedPageBreak/>
        <w:t>s článkom 4 ods. 1 písm. b) a c) dohovoru. Podľa neho sú zmluvné štáty povinné zabezpečiť, aby verejné orgány a inštitúcie konali v súlade s dohovorom. Okrem toho musia zaistiť, aby sa existujúce zákony, predpisy, zvyky a praktiky predstavujúce diskrimináciu osôb so zdravotným postihnutím buď upravili, alebo zrušili, a</w:t>
      </w:r>
      <w:r w:rsidR="000504B6" w:rsidRPr="000504B6">
        <w:rPr>
          <w:rFonts w:ascii="Times New Roman" w:hAnsi="Times New Roman" w:cs="Times New Roman"/>
          <w:sz w:val="20"/>
          <w:szCs w:val="20"/>
        </w:rPr>
        <w:t> </w:t>
      </w:r>
      <w:r w:rsidRPr="000504B6">
        <w:rPr>
          <w:rFonts w:ascii="Times New Roman" w:hAnsi="Times New Roman" w:cs="Times New Roman"/>
          <w:sz w:val="20"/>
          <w:szCs w:val="20"/>
        </w:rPr>
        <w:t>aby</w:t>
      </w:r>
      <w:r w:rsidR="000504B6" w:rsidRPr="000504B6">
        <w:rPr>
          <w:rFonts w:ascii="Times New Roman" w:hAnsi="Times New Roman" w:cs="Times New Roman"/>
          <w:sz w:val="20"/>
          <w:szCs w:val="20"/>
        </w:rPr>
        <w:t xml:space="preserve"> </w:t>
      </w:r>
      <w:r w:rsidRPr="000504B6">
        <w:rPr>
          <w:rFonts w:ascii="Times New Roman" w:hAnsi="Times New Roman" w:cs="Times New Roman"/>
          <w:sz w:val="20"/>
          <w:szCs w:val="20"/>
        </w:rPr>
        <w:t>sa ochrana a presadzovanie práv osôb so zdravotným postihnutím zohľadnili vo všetkých politikách a programoch.</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3"/>
        </w:numPr>
        <w:tabs>
          <w:tab w:val="left" w:pos="1286"/>
        </w:tabs>
        <w:ind w:right="1311" w:hanging="502"/>
        <w:rPr>
          <w:rFonts w:cs="Times New Roman"/>
          <w:b w:val="0"/>
          <w:bCs w:val="0"/>
        </w:rPr>
      </w:pPr>
      <w:r w:rsidRPr="000504B6">
        <w:rPr>
          <w:rFonts w:cs="Times New Roman"/>
        </w:rPr>
        <w:t xml:space="preserve">Článok 5 ods. 1 o rovnakej ochrane a rovnakom úžitku zo zákona </w:t>
      </w:r>
    </w:p>
    <w:p w:rsidR="00E1270E" w:rsidRPr="000504B6" w:rsidRDefault="00E1270E">
      <w:pPr>
        <w:spacing w:before="5"/>
        <w:rPr>
          <w:rFonts w:ascii="Times New Roman" w:eastAsia="Times New Roman" w:hAnsi="Times New Roman" w:cs="Times New Roman"/>
          <w:b/>
          <w:bCs/>
          <w:sz w:val="21"/>
          <w:szCs w:val="21"/>
        </w:rPr>
      </w:pPr>
    </w:p>
    <w:p w:rsidR="00E1270E" w:rsidRPr="000504B6" w:rsidRDefault="008832F4">
      <w:pPr>
        <w:pStyle w:val="Odsekzoznamu"/>
        <w:numPr>
          <w:ilvl w:val="0"/>
          <w:numId w:val="4"/>
        </w:numPr>
        <w:tabs>
          <w:tab w:val="left" w:pos="1855"/>
        </w:tabs>
        <w:spacing w:line="249" w:lineRule="auto"/>
        <w:ind w:left="1286" w:right="1284" w:firstLine="0"/>
        <w:jc w:val="both"/>
        <w:rPr>
          <w:rFonts w:ascii="Times New Roman" w:eastAsia="Times New Roman" w:hAnsi="Times New Roman" w:cs="Times New Roman"/>
          <w:sz w:val="20"/>
          <w:szCs w:val="20"/>
        </w:rPr>
      </w:pPr>
      <w:r w:rsidRPr="000504B6">
        <w:rPr>
          <w:rFonts w:ascii="Times New Roman" w:hAnsi="Times New Roman" w:cs="Times New Roman"/>
          <w:sz w:val="20"/>
          <w:szCs w:val="20"/>
        </w:rPr>
        <w:t>Spojenia „Rovnaká ochrana zo zákona“ a „rovnaký úžitok zo zákona“ zahŕňajú súvisiace, ale odlišné pojmy rovnosti a nediskriminácie. „Rovnaká ochrana zo zákona“ je všeobecne známe spojenie medzinárodných zmlúv o ľudských právach, ktorým sa požaduje, aby sa pri vydávaní zákonov a politík vnútroštátne zákonodarné orgány zdržali zachovávania alebo vypracúvania ustanovení majúcich charakter diskriminácie osôb so zdravotným postihnutím. Zo znenia článku 5 v spojení s článkami 1, 3 a 4 dohovoru vypláva, že na umožnenie rovnakého vykonávania práv zaručených právnymi predpismi u osôb so zdravotným postihnutím sú zmluvné štáty povinné prijať pozitívne opatrenia. Často sú potrebné prístupnosť, primerané úpravy a individuálna podpora. Na zabezpečenie rovnakých príležitostí pre všetky osoby so zdravotným postihnutím sa používa spojenie „rovnaký úžitok zo zákona“. Znamená to, že zmluvné strany musia odstrániť prekážky prístupu ku všetkým zákonným ochranným prostriedkom a úžitkom z rovnakého prístupu k právu a nároku na presadzovanie práv.</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3"/>
        </w:numPr>
        <w:tabs>
          <w:tab w:val="left" w:pos="1286"/>
        </w:tabs>
        <w:spacing w:before="124" w:line="272" w:lineRule="exact"/>
        <w:ind w:right="2190"/>
        <w:rPr>
          <w:rFonts w:cs="Times New Roman"/>
          <w:b w:val="0"/>
          <w:bCs w:val="0"/>
        </w:rPr>
      </w:pPr>
      <w:r w:rsidRPr="000504B6">
        <w:rPr>
          <w:rFonts w:cs="Times New Roman"/>
        </w:rPr>
        <w:t>Článok 5 ods. 2 o zákaze diskriminácie a rovnakej a účinnej právnej ochrane</w:t>
      </w:r>
    </w:p>
    <w:p w:rsidR="00E1270E" w:rsidRPr="000504B6" w:rsidRDefault="00E1270E">
      <w:pPr>
        <w:spacing w:before="2"/>
        <w:rPr>
          <w:rFonts w:ascii="Times New Roman" w:eastAsia="Times New Roman" w:hAnsi="Times New Roman" w:cs="Times New Roman"/>
          <w:b/>
          <w:bCs/>
          <w:sz w:val="21"/>
          <w:szCs w:val="21"/>
        </w:rPr>
      </w:pPr>
    </w:p>
    <w:p w:rsidR="00E1270E" w:rsidRPr="000504B6" w:rsidRDefault="008832F4">
      <w:pPr>
        <w:pStyle w:val="Odsekzoznamu"/>
        <w:numPr>
          <w:ilvl w:val="0"/>
          <w:numId w:val="4"/>
        </w:numPr>
        <w:tabs>
          <w:tab w:val="left" w:pos="1855"/>
        </w:tabs>
        <w:spacing w:line="249" w:lineRule="auto"/>
        <w:ind w:left="1286" w:right="1233" w:firstLine="0"/>
        <w:rPr>
          <w:rFonts w:ascii="Times New Roman" w:eastAsia="Times New Roman" w:hAnsi="Times New Roman" w:cs="Times New Roman"/>
          <w:sz w:val="20"/>
          <w:szCs w:val="20"/>
        </w:rPr>
      </w:pPr>
      <w:r w:rsidRPr="000504B6">
        <w:rPr>
          <w:rFonts w:ascii="Times New Roman" w:hAnsi="Times New Roman" w:cs="Times New Roman"/>
          <w:sz w:val="20"/>
          <w:szCs w:val="20"/>
        </w:rPr>
        <w:t>Článok 5 ods. 2 obsahuje právne požiadavky na dosiahnutie práv na rovnosť u osôb so zdravotným postihnutím a osôb, ktoré k nim majú určitý vzťah, t. j. osôb spriaznených. Záväzky zákazu všetkých foriem diskriminácie na základe zdravotného postihnutia sa týkajú osôb so zdravotným postihnutím a spriaznených osôb, akými sú napríklad rodičia detí so zdravotným postihnutím. Povinnosť zaručiť osobám so zdravotným postihnutím rovnakú a účinnú právnu ochranu proti diskriminácii z akéhokoľvek dôvodu je rozsiahla, pričom predstavuje pre zmluvné štáty tzv. pozitívne záväzky ochrany. Diskriminácia na základe zdravotného postihnutia je v článku 2 definovaná ako „akékoľvek rozlišovanie, vylúčenie alebo obmedzenie na základe zdravotného postihnutia, ktoré má za cieľ alebo následok narušenie alebo úplnú neexistenciu uznania, uplatňovania alebo výkonu ľudských práv a základných slobôd v politickej, hospodárskej, sociálnej, kultúrnej, občianskej alebo akejkoľvek inej oblasti na rovnakom základe s ostatnými. Zahŕňa všetky formy diskriminácie vrátane odmietnutia primeraných úprav.“ Táto definícia vychádza z právnych definícií diskriminácie v medzinárodných zmluvách o ľudských právach, ako napr. článok 1 Medzinárodného dohovoru o odstránení všetkých foriem rasovej diskriminácie a článok 1 Dohovoru o odstránení všetkých foriem diskriminácie žien. Svojím znením presahuje rámec týchto definícií v dvoch aspektoch: po prvé zahŕňa „odmietnutie primeraných úprav“ ako formu diskriminácie na základe zdravotného postihnutia a po druhé spojenie „na rovnakom základe s ostatnými“ je novou obsahovou súčasťou. Vo svojich článkoch 1 a 3 uvádza Dohovor o odstránení všetkých foriem diskriminácie žien podobnú, ale obmedzenejšiu formuláciu: „na základe rovnosti žien a mužov“. Spojenie „na rovnakom základe s ostatnými“ sa týka nielen definície diskriminácie na základe zdravotného postihnutia, ale preniká aj do celého znenia Dohovoru o právach osôb so zdravotným postihnutím. Na jednej strane to znamená, že osobám so zdravotným postihnutím sa nebude poskytovať viac ani menej práv či úžitkov ako bežnej populácii. Na druhej strane sa týmto od zmluvných štátov vyžaduje prijatie konkrétnych opatrení na dosiahnutie faktickej rovnosti osôb so zdravotným postihnutím, aby mohli tieto osoby skutočne využívať všetky ľudské práva a základné slobody.</w:t>
      </w:r>
    </w:p>
    <w:p w:rsidR="00E1270E" w:rsidRPr="000504B6" w:rsidRDefault="008832F4">
      <w:pPr>
        <w:pStyle w:val="Odsekzoznamu"/>
        <w:numPr>
          <w:ilvl w:val="0"/>
          <w:numId w:val="4"/>
        </w:numPr>
        <w:tabs>
          <w:tab w:val="left" w:pos="1855"/>
        </w:tabs>
        <w:spacing w:before="121" w:line="249" w:lineRule="auto"/>
        <w:ind w:left="1286" w:right="1286" w:firstLine="0"/>
        <w:jc w:val="both"/>
        <w:rPr>
          <w:rFonts w:ascii="Times New Roman" w:eastAsia="Times New Roman" w:hAnsi="Times New Roman" w:cs="Times New Roman"/>
          <w:sz w:val="20"/>
          <w:szCs w:val="20"/>
        </w:rPr>
      </w:pPr>
      <w:r w:rsidRPr="000504B6">
        <w:rPr>
          <w:rFonts w:ascii="Times New Roman" w:hAnsi="Times New Roman" w:cs="Times New Roman"/>
          <w:sz w:val="20"/>
          <w:szCs w:val="20"/>
        </w:rPr>
        <w:t>Záväzok zákazu „každej diskriminácie“ zahŕňa všetky jej formy. Medzinárodná prax v oblasti ľudských práv rozoznáva štyri hlavné formy diskriminácie, ktoré sa môžu vyskytnúť samostatne alebo súbežne:</w:t>
      </w:r>
    </w:p>
    <w:p w:rsidR="00E1270E" w:rsidRPr="000504B6" w:rsidRDefault="008832F4" w:rsidP="000504B6">
      <w:pPr>
        <w:pStyle w:val="Odsekzoznamu"/>
        <w:numPr>
          <w:ilvl w:val="1"/>
          <w:numId w:val="4"/>
        </w:numPr>
        <w:tabs>
          <w:tab w:val="left" w:pos="2422"/>
        </w:tabs>
        <w:spacing w:before="73" w:line="249" w:lineRule="auto"/>
        <w:ind w:right="1292" w:firstLine="568"/>
        <w:jc w:val="both"/>
        <w:rPr>
          <w:rFonts w:ascii="Times New Roman" w:hAnsi="Times New Roman" w:cs="Times New Roman"/>
        </w:rPr>
      </w:pPr>
      <w:r w:rsidRPr="000504B6">
        <w:rPr>
          <w:rFonts w:ascii="Times New Roman" w:hAnsi="Times New Roman" w:cs="Times New Roman"/>
          <w:sz w:val="20"/>
          <w:szCs w:val="20"/>
        </w:rPr>
        <w:t xml:space="preserve">„Priama diskriminácia“ nastáva, ak sa v podobnej situácii zaobchádza s osobami so zdravotným postihnutím menej priaznivo ako s inými osobami kvôli odlišnému osobnému postaveniu v takejto situácii z akéhokoľvek zakázaného dôvodu diskriminácie. </w:t>
      </w:r>
      <w:r w:rsidRPr="000504B6">
        <w:rPr>
          <w:rFonts w:ascii="Times New Roman" w:hAnsi="Times New Roman" w:cs="Times New Roman"/>
          <w:sz w:val="20"/>
          <w:szCs w:val="20"/>
        </w:rPr>
        <w:lastRenderedPageBreak/>
        <w:t>Priama diskriminácia zahŕňa škodlivé činy alebo opomenutia zo zakázaných dôvodov, ak neexistuje</w:t>
      </w:r>
      <w:r w:rsidR="000504B6">
        <w:rPr>
          <w:rFonts w:ascii="Times New Roman" w:hAnsi="Times New Roman" w:cs="Times New Roman"/>
          <w:sz w:val="20"/>
          <w:szCs w:val="20"/>
        </w:rPr>
        <w:t xml:space="preserve"> </w:t>
      </w:r>
      <w:r w:rsidRPr="000504B6">
        <w:rPr>
          <w:rFonts w:ascii="Times New Roman" w:hAnsi="Times New Roman" w:cs="Times New Roman"/>
          <w:sz w:val="20"/>
          <w:szCs w:val="20"/>
        </w:rPr>
        <w:t>porovnateľná podobná situácia.</w:t>
      </w:r>
      <w:r w:rsidR="000504B6">
        <w:rPr>
          <w:rStyle w:val="Odkaznapoznmkupodiarou"/>
          <w:rFonts w:ascii="Times New Roman" w:hAnsi="Times New Roman" w:cs="Times New Roman"/>
          <w:sz w:val="20"/>
          <w:szCs w:val="20"/>
        </w:rPr>
        <w:footnoteReference w:id="2"/>
      </w:r>
      <w:r w:rsidRPr="000504B6">
        <w:rPr>
          <w:rFonts w:ascii="Times New Roman" w:hAnsi="Times New Roman" w:cs="Times New Roman"/>
          <w:sz w:val="20"/>
          <w:szCs w:val="20"/>
        </w:rPr>
        <w:t xml:space="preserve"> Motív alebo úmysel diskriminujúcej strany nie je relevantný na určenie, či došlo k diskriminácii. Napríklad štátna škola, ktorá odmieta prijať dieťa so zdravotným postihnutím z dôvodu, že nechce meniť školské vzdelávacie programy, a robí tak len kvôli jeho zdravotnému postihnutiu, je príkladom priamej diskriminácie.</w:t>
      </w:r>
    </w:p>
    <w:p w:rsidR="00E1270E" w:rsidRPr="000504B6" w:rsidRDefault="008832F4">
      <w:pPr>
        <w:pStyle w:val="Odsekzoznamu"/>
        <w:numPr>
          <w:ilvl w:val="1"/>
          <w:numId w:val="4"/>
        </w:numPr>
        <w:tabs>
          <w:tab w:val="left" w:pos="2422"/>
        </w:tabs>
        <w:spacing w:before="121" w:line="249" w:lineRule="auto"/>
        <w:ind w:right="1283" w:firstLine="568"/>
        <w:jc w:val="both"/>
        <w:rPr>
          <w:rFonts w:ascii="Times New Roman" w:eastAsia="Times New Roman" w:hAnsi="Times New Roman" w:cs="Times New Roman"/>
          <w:sz w:val="20"/>
          <w:szCs w:val="20"/>
        </w:rPr>
      </w:pPr>
      <w:r w:rsidRPr="000504B6">
        <w:rPr>
          <w:rFonts w:ascii="Times New Roman" w:hAnsi="Times New Roman" w:cs="Times New Roman"/>
          <w:sz w:val="20"/>
          <w:szCs w:val="20"/>
        </w:rPr>
        <w:t>„Nepriama diskriminácia“</w:t>
      </w:r>
      <w:r w:rsidR="000504B6">
        <w:rPr>
          <w:rStyle w:val="Odkaznapoznmkupodiarou"/>
          <w:rFonts w:ascii="Times New Roman" w:hAnsi="Times New Roman" w:cs="Times New Roman"/>
          <w:sz w:val="20"/>
          <w:szCs w:val="20"/>
        </w:rPr>
        <w:footnoteReference w:id="3"/>
      </w:r>
      <w:r w:rsidRPr="000504B6">
        <w:rPr>
          <w:rFonts w:ascii="Times New Roman" w:hAnsi="Times New Roman" w:cs="Times New Roman"/>
          <w:sz w:val="12"/>
          <w:szCs w:val="12"/>
        </w:rPr>
        <w:t xml:space="preserve"> </w:t>
      </w:r>
      <w:r w:rsidRPr="000504B6">
        <w:rPr>
          <w:rFonts w:ascii="Times New Roman" w:hAnsi="Times New Roman" w:cs="Times New Roman"/>
          <w:sz w:val="20"/>
          <w:szCs w:val="20"/>
        </w:rPr>
        <w:t>znamená, že zákony, politiky alebo praktiky sa svojím znením síce bežne javia ako neutrálne, majú však neprimerane negatívny dopad na osobu so zdravotným postihnutím. K tejto forme diskriminácie dochádza, ak príležitosť, ktorá sa zdá byť prístupná, v skutočnosti vylučuje určité osoby z dôvodu, že im ich postavenie neumožňuje mať z takejto príležitosti úžitok. Napríklad, ak škola neposkytuje knihy v ľahko čitateľnom formáte, nepriamo tým diskriminuje osoby s mentálnym postihnutím, ktoré by napriek formálnemu povoleniu navštevovať danú školu museli v skutočnosti navštevovať inú. Rovnako je to aj v prípade, ak uchádzač s obmedzenou pohyblivosťou absolvuje pracovný pohovor v kancelárii na druhom poschodí v budove bez výťahu. Aj keď sa mu umožní zúčastniť sa daného pohovoru, daná situácia spôsobuje jeho nerovné postavenie.</w:t>
      </w:r>
    </w:p>
    <w:p w:rsidR="00E1270E" w:rsidRPr="000504B6" w:rsidRDefault="008832F4">
      <w:pPr>
        <w:pStyle w:val="Odsekzoznamu"/>
        <w:numPr>
          <w:ilvl w:val="1"/>
          <w:numId w:val="4"/>
        </w:numPr>
        <w:tabs>
          <w:tab w:val="left" w:pos="2422"/>
        </w:tabs>
        <w:spacing w:before="121" w:line="249" w:lineRule="auto"/>
        <w:ind w:right="1287" w:firstLine="568"/>
        <w:jc w:val="both"/>
        <w:rPr>
          <w:rFonts w:ascii="Times New Roman" w:eastAsia="Times New Roman" w:hAnsi="Times New Roman" w:cs="Times New Roman"/>
          <w:sz w:val="20"/>
          <w:szCs w:val="20"/>
        </w:rPr>
      </w:pPr>
      <w:r w:rsidRPr="000504B6">
        <w:rPr>
          <w:rFonts w:ascii="Times New Roman" w:hAnsi="Times New Roman" w:cs="Times New Roman"/>
          <w:sz w:val="20"/>
          <w:szCs w:val="20"/>
        </w:rPr>
        <w:t>„Odmietnutie primeraných úprav“ podľa článku 2 dohovoru je diskrimináciou, ak dôjde k odmietnutiu nevyhnutných a primeraných zmien a úprav (nepredstavujúcich „neúmerné alebo nadmerné zaťaženie“), ktoré sa vyžadujú na zabezpečenie rovnakého používania alebo výkonu akéhokoľvek ľudského práva alebo základnej slobody. Neprijatie sprevádzajúcej osoby alebo odmietnutie vyhovieť osobe so zdravotným postihnutím iným spôsobom sú príkladmi odmietnutia primeraných úprav.</w:t>
      </w:r>
    </w:p>
    <w:p w:rsidR="00E1270E" w:rsidRPr="000504B6" w:rsidRDefault="008832F4">
      <w:pPr>
        <w:pStyle w:val="Odsekzoznamu"/>
        <w:numPr>
          <w:ilvl w:val="1"/>
          <w:numId w:val="4"/>
        </w:numPr>
        <w:tabs>
          <w:tab w:val="left" w:pos="2422"/>
        </w:tabs>
        <w:spacing w:before="121" w:line="249" w:lineRule="auto"/>
        <w:ind w:right="1286" w:firstLine="568"/>
        <w:jc w:val="both"/>
        <w:rPr>
          <w:rFonts w:ascii="Times New Roman" w:eastAsia="Times New Roman" w:hAnsi="Times New Roman" w:cs="Times New Roman"/>
          <w:sz w:val="20"/>
          <w:szCs w:val="20"/>
        </w:rPr>
      </w:pPr>
      <w:r w:rsidRPr="000504B6">
        <w:rPr>
          <w:rFonts w:ascii="Times New Roman" w:hAnsi="Times New Roman" w:cs="Times New Roman"/>
          <w:sz w:val="20"/>
          <w:szCs w:val="20"/>
        </w:rPr>
        <w:t>„Obťažovanie“ je forma diskriminácie, keď dochádza k nežiaducemu konaniu súvisiacemu so zdravotným postihnutím alebo iným zakázaným dôvodom, ktorého cieľom alebo následkom má byť narušenie dôstojnosti osoby a vytváranie zastrašujúceho, nepriateľského, ponižujúceho, zosmiešňujúceho alebo urážlivého prostredia. Táto forma môže nastať prostredníctvom činností alebo slov, ktoré vedú k pretrvávaniu rozdielu a útlaku osôb so zdravotným postihnutím. Osobitná pozornosť by sa mala venovať osobám so zdravotným postihnutím žijúcim na segregovaných miestach, ako sú pobytové ústavné zariadenia, osobitné školy alebo psychiatrické nemocnice, kde je výskyt tohto druhu diskriminácie pravdepodobnejší a svojou podstatou ignorovaný, čo znižuje šancu jeho potrestania. „Šikanovanie“ a jeho online forma, kyberšikana a kybernenávisť takisto predstavujú násilné a škodlivé formy trestných činov z nenávisti. Medzi ďalšie príklady patrí násilie (na základe zdravotného postihnutia) vo všetkých jeho formách, ako napr. znásilnenie, zneužívanie a vykorisťovanie, zločiny z nenávisti a bitie.</w:t>
      </w:r>
    </w:p>
    <w:p w:rsidR="00E1270E" w:rsidRPr="000504B6" w:rsidRDefault="008832F4">
      <w:pPr>
        <w:pStyle w:val="Odsekzoznamu"/>
        <w:numPr>
          <w:ilvl w:val="0"/>
          <w:numId w:val="4"/>
        </w:numPr>
        <w:tabs>
          <w:tab w:val="left" w:pos="1855"/>
        </w:tabs>
        <w:spacing w:before="121" w:line="249" w:lineRule="auto"/>
        <w:ind w:left="1286" w:right="1286" w:firstLine="0"/>
        <w:jc w:val="both"/>
        <w:rPr>
          <w:rFonts w:ascii="Times New Roman" w:eastAsia="Times New Roman" w:hAnsi="Times New Roman" w:cs="Times New Roman"/>
          <w:sz w:val="12"/>
          <w:szCs w:val="12"/>
        </w:rPr>
      </w:pPr>
      <w:r w:rsidRPr="000504B6">
        <w:rPr>
          <w:rFonts w:ascii="Times New Roman" w:hAnsi="Times New Roman" w:cs="Times New Roman"/>
          <w:sz w:val="20"/>
          <w:szCs w:val="20"/>
        </w:rPr>
        <w:t>Diskriminácia môže nastať buď na základe jednej charakteristiky, ako napr. zdravotné postihnutie alebo pohlavie, alebo na základe viacerých a/alebo prelínajúcich sa charakteristík. K „prierezovej diskriminácii“ dochádza, ak osoba so zdravotným postihnutím alebo osoba spájaná so zdravotným postihnutím trpí diskrimináciou v akejkoľvek forme na základe zdravotného postihnutia v kombinácii s diskrimináciou na základe farby pleti, pohlavia, jazyka, náboženského presvedčenia, etnickej príslušnosti, rodu alebo iného statusu. Prierezová diskriminácia sa môže prejaviť ako priama alebo nepriama diskriminácia, príp. ako odmietnutie primeraných úprav alebo obťažovanie. Napríklad, aj keď odopieranie prístupu k všeobecným informáciám o zdraví z dôvodu neprístupného formátu postihuje všetky osoby so zdravotným postihnutím, zamietnutie prístupu nevidiacej ženy k službám plánovania rodičovstva obmedzuje jej práva na základe jej pohlavia aj zdravotného postihnutia. V mnohých prípadoch je tieto dôvody ťažké oddeliť. Zmluvné štáty sú povinné riešiť viacnásobnú aj prierezovú diskrimináciu osôb so zdravotným postihnutím. „Viacnásobná diskriminácia“ predstavuje podľa výboru situáciu, keď môže osoba zažiť diskrimináciu na základe dvoch alebo viacerých dôvodov, čím sa myslí skutočnosť, že takáto forma diskriminácie je zložená, a tým zhoršená. Prierezová diskriminácia znamená situáciu, keď existuje v jednom momente niekoľko dôvodov, ktoré sa vzájomne ovplyvňujú takým spôsobom, že ich nemožno od seba oddeliť, čím vystavujú príslušných jednotlivcov špecifickým typom znevýhodnenia a diskriminácie.</w:t>
      </w:r>
      <w:r w:rsidR="000504B6">
        <w:rPr>
          <w:rStyle w:val="Odkaznapoznmkupodiarou"/>
          <w:rFonts w:ascii="Times New Roman" w:hAnsi="Times New Roman" w:cs="Times New Roman"/>
          <w:sz w:val="20"/>
          <w:szCs w:val="20"/>
        </w:rPr>
        <w:footnoteReference w:id="4"/>
      </w:r>
    </w:p>
    <w:p w:rsidR="00E1270E" w:rsidRPr="000504B6" w:rsidRDefault="008832F4" w:rsidP="000504B6">
      <w:pPr>
        <w:pStyle w:val="Odsekzoznamu"/>
        <w:numPr>
          <w:ilvl w:val="0"/>
          <w:numId w:val="4"/>
        </w:numPr>
        <w:tabs>
          <w:tab w:val="left" w:pos="1855"/>
        </w:tabs>
        <w:spacing w:before="73" w:line="249" w:lineRule="auto"/>
        <w:ind w:left="1286" w:right="1287" w:firstLine="0"/>
        <w:jc w:val="both"/>
        <w:rPr>
          <w:rFonts w:ascii="Times New Roman" w:hAnsi="Times New Roman" w:cs="Times New Roman"/>
        </w:rPr>
      </w:pPr>
      <w:r w:rsidRPr="000504B6">
        <w:rPr>
          <w:rFonts w:ascii="Times New Roman" w:hAnsi="Times New Roman" w:cs="Times New Roman"/>
          <w:sz w:val="20"/>
          <w:szCs w:val="20"/>
        </w:rPr>
        <w:lastRenderedPageBreak/>
        <w:t>Diskriminácia „na základe zdravotného postihnutia“ môže pôsobiť proti osobám, ktoré majú zdravotné postihnutie v súčasnosti, alebo ho mali v minulosti, alebo sú náchylné na zdravotné postihnutie v budúcnosti, resp. o ktorých sa predpokladá, že majú zdravotné postihnutie, ako aj proti tým osobám, ktoré</w:t>
      </w:r>
      <w:r w:rsidR="000504B6">
        <w:rPr>
          <w:rFonts w:ascii="Times New Roman" w:hAnsi="Times New Roman" w:cs="Times New Roman"/>
          <w:sz w:val="20"/>
          <w:szCs w:val="20"/>
        </w:rPr>
        <w:t xml:space="preserve"> </w:t>
      </w:r>
      <w:r w:rsidRPr="000504B6">
        <w:rPr>
          <w:rFonts w:ascii="Times New Roman" w:hAnsi="Times New Roman" w:cs="Times New Roman"/>
          <w:sz w:val="20"/>
          <w:szCs w:val="20"/>
        </w:rPr>
        <w:t>majú vzťah k osobe so zdravotným postihnutím. Takáto forma diskriminácie je známa ako „diskriminácia z dôvodu osobitného vzťahu k zdravotne postihnutej osobe“. Dôvodom rozsiahlej pôsobnosti článku 5 je odstránenie všetkých diskriminačných situácií a/alebo diskriminačných konaní súvisiacich so zdravotným postihnutím, ako aj boj proti takýmto situáciám a konaniam.</w:t>
      </w:r>
    </w:p>
    <w:p w:rsidR="00E1270E" w:rsidRPr="000504B6" w:rsidRDefault="008832F4">
      <w:pPr>
        <w:pStyle w:val="Odsekzoznamu"/>
        <w:numPr>
          <w:ilvl w:val="0"/>
          <w:numId w:val="4"/>
        </w:numPr>
        <w:tabs>
          <w:tab w:val="left" w:pos="1855"/>
        </w:tabs>
        <w:spacing w:before="121" w:line="249" w:lineRule="auto"/>
        <w:ind w:left="1286" w:right="1285" w:firstLine="0"/>
        <w:jc w:val="both"/>
        <w:rPr>
          <w:rFonts w:ascii="Times New Roman" w:eastAsia="Times New Roman" w:hAnsi="Times New Roman" w:cs="Times New Roman"/>
          <w:sz w:val="20"/>
          <w:szCs w:val="20"/>
        </w:rPr>
      </w:pPr>
      <w:r w:rsidRPr="000504B6">
        <w:rPr>
          <w:rFonts w:ascii="Times New Roman" w:hAnsi="Times New Roman" w:cs="Times New Roman"/>
          <w:sz w:val="20"/>
          <w:szCs w:val="20"/>
        </w:rPr>
        <w:t>Ochrana pred „diskrimináciou na základe všetkých dôvodov“ znamená, že sa musia vziať do úvahy všetky možné dôvody diskriminácie vrátane ich prelínaní. Možné dôvody zahŕňajú najmä: zdravotné postihnutie; zdravotný stav; genetickú alebo inú predispozíciu k chorobe; rasu; farbu pleti; pôvod; pohlavie; tehotenstvo a materstvo/otcovstvo; občiansky, rodinný alebo kariérny status; rodové prejavy; pohlavná identita; jazyk; náboženstvo; politické alebo iné presvedčenie; národný, etnický, domorodý alebo sociálny pôvod; štatút migranta, utečenca alebo azylanta; príslušnosť k národnostnej menšine; ekonomický alebo majetkový status; narodenie a vek, resp. kombinácia akýchkoľvek z týchto dôvodov alebo charakteristík spojených s niektorým z nich.</w:t>
      </w:r>
    </w:p>
    <w:p w:rsidR="00E1270E" w:rsidRPr="000504B6" w:rsidRDefault="008832F4">
      <w:pPr>
        <w:pStyle w:val="Odsekzoznamu"/>
        <w:numPr>
          <w:ilvl w:val="0"/>
          <w:numId w:val="4"/>
        </w:numPr>
        <w:tabs>
          <w:tab w:val="left" w:pos="1855"/>
        </w:tabs>
        <w:spacing w:before="121" w:line="249" w:lineRule="auto"/>
        <w:ind w:left="1286" w:right="1284" w:firstLine="0"/>
        <w:jc w:val="both"/>
        <w:rPr>
          <w:rFonts w:ascii="Times New Roman" w:eastAsia="Times New Roman" w:hAnsi="Times New Roman" w:cs="Times New Roman"/>
          <w:sz w:val="20"/>
          <w:szCs w:val="20"/>
        </w:rPr>
      </w:pPr>
      <w:r w:rsidRPr="000504B6">
        <w:rPr>
          <w:rFonts w:ascii="Times New Roman" w:hAnsi="Times New Roman" w:cs="Times New Roman"/>
          <w:sz w:val="20"/>
          <w:szCs w:val="20"/>
        </w:rPr>
        <w:t>„Rovnaká a účinná právna ochrana proti diskriminácii“ znamená, že zmluvné štáty majú pozitívne záväzky chrániť osoby so zdravotným postihnutím pred diskrimináciou vrátane povinnosti vydať špecifické a komplexné antidiskriminačné právne predpisy. Výslovný právny zákaz diskriminácie osôb so zdravotným postihnutím na základe ich zdravotného postihnutia, resp. z iných dôvodov by mal byť v právnych predpisoch uvedený spolu s poskytnutím primeraných a účinných opravných prostriedkov a sankcií v súvislosti s prierezovou diskrimináciou v občianskom, správnom a trestnom konaní. Ak má diskriminácia systémovú povahu, samotné poskytnutie kompenzácie danému jednotlivcovi nemôže mať žiadny skutočný účinok z hľadiska zmeny prístupu. V takýchto prípadoch by mali zmluvné štáty do svojich právnych predpisov začleniť aj „progresívne nepeňažné opravné prostriedky“, čo znamená, že ďalšiu účinnú ochranu proti diskriminácii vykonávanú súkromnými subjektmi a organizáciami zabezpečí príslušný zmluvný štát.</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3"/>
        </w:numPr>
        <w:tabs>
          <w:tab w:val="left" w:pos="1286"/>
        </w:tabs>
        <w:ind w:right="1311"/>
        <w:rPr>
          <w:rFonts w:cs="Times New Roman"/>
          <w:b w:val="0"/>
          <w:bCs w:val="0"/>
        </w:rPr>
      </w:pPr>
      <w:r w:rsidRPr="000504B6">
        <w:rPr>
          <w:rFonts w:cs="Times New Roman"/>
        </w:rPr>
        <w:t>Článok 5 ods. 3 o primeraných úpravách</w:t>
      </w:r>
    </w:p>
    <w:p w:rsidR="00E1270E" w:rsidRPr="000504B6" w:rsidRDefault="00E1270E">
      <w:pPr>
        <w:spacing w:before="5"/>
        <w:rPr>
          <w:rFonts w:ascii="Times New Roman" w:eastAsia="Times New Roman" w:hAnsi="Times New Roman" w:cs="Times New Roman"/>
          <w:b/>
          <w:bCs/>
          <w:sz w:val="21"/>
          <w:szCs w:val="21"/>
        </w:rPr>
      </w:pPr>
    </w:p>
    <w:p w:rsidR="00E1270E" w:rsidRPr="000504B6" w:rsidRDefault="008832F4">
      <w:pPr>
        <w:pStyle w:val="Odsekzoznamu"/>
        <w:numPr>
          <w:ilvl w:val="0"/>
          <w:numId w:val="4"/>
        </w:numPr>
        <w:tabs>
          <w:tab w:val="left" w:pos="1855"/>
        </w:tabs>
        <w:spacing w:line="249" w:lineRule="auto"/>
        <w:ind w:left="1286" w:right="1290" w:firstLine="0"/>
        <w:jc w:val="both"/>
        <w:rPr>
          <w:rFonts w:ascii="Times New Roman" w:eastAsia="Times New Roman" w:hAnsi="Times New Roman" w:cs="Times New Roman"/>
          <w:sz w:val="20"/>
          <w:szCs w:val="20"/>
        </w:rPr>
      </w:pPr>
      <w:r w:rsidRPr="000504B6">
        <w:rPr>
          <w:rFonts w:ascii="Times New Roman" w:hAnsi="Times New Roman" w:cs="Times New Roman"/>
          <w:sz w:val="20"/>
        </w:rPr>
        <w:t>Primerané úpravy sú neoddeliteľnou súčasťou okamžite platnej povinnosti nediskriminácie v súvislosti so zdravotným postihnutím.</w:t>
      </w:r>
      <w:r w:rsidR="000504B6">
        <w:rPr>
          <w:rStyle w:val="Odkaznapoznmkupodiarou"/>
          <w:rFonts w:ascii="Times New Roman" w:hAnsi="Times New Roman" w:cs="Times New Roman"/>
          <w:sz w:val="20"/>
        </w:rPr>
        <w:footnoteReference w:id="5"/>
      </w:r>
      <w:r w:rsidRPr="000504B6">
        <w:rPr>
          <w:rFonts w:ascii="Times New Roman" w:hAnsi="Times New Roman" w:cs="Times New Roman"/>
          <w:sz w:val="12"/>
        </w:rPr>
        <w:t xml:space="preserve"> </w:t>
      </w:r>
      <w:r w:rsidRPr="000504B6">
        <w:rPr>
          <w:rFonts w:ascii="Times New Roman" w:hAnsi="Times New Roman" w:cs="Times New Roman"/>
          <w:sz w:val="20"/>
        </w:rPr>
        <w:t>Medzi príklady primeraných úprav patria sprístupnenie existujúcich zariadení a informácií osobe so zdravotným postihnutím; úprava vybavenia; reorganizácia činností; opätovné rozvrhnutie prác; prispôsobenie učebných osnov a materiálov a stratégií výučby; úprava liečebných postupov alebo umožnenie prístupu k pomocnému personálu bez neúmerného alebo nadmerného zaťaženia.</w:t>
      </w:r>
    </w:p>
    <w:p w:rsidR="00E1270E" w:rsidRPr="000504B6" w:rsidRDefault="008832F4">
      <w:pPr>
        <w:pStyle w:val="Odsekzoznamu"/>
        <w:numPr>
          <w:ilvl w:val="0"/>
          <w:numId w:val="4"/>
        </w:numPr>
        <w:tabs>
          <w:tab w:val="left" w:pos="1855"/>
        </w:tabs>
        <w:spacing w:before="121" w:line="249" w:lineRule="auto"/>
        <w:ind w:left="1286" w:right="1286" w:firstLine="0"/>
        <w:jc w:val="both"/>
        <w:rPr>
          <w:rFonts w:ascii="Times New Roman" w:eastAsia="Times New Roman" w:hAnsi="Times New Roman" w:cs="Times New Roman"/>
          <w:sz w:val="20"/>
          <w:szCs w:val="20"/>
        </w:rPr>
      </w:pPr>
      <w:r w:rsidRPr="000504B6">
        <w:rPr>
          <w:rFonts w:ascii="Times New Roman" w:hAnsi="Times New Roman" w:cs="Times New Roman"/>
          <w:sz w:val="20"/>
        </w:rPr>
        <w:t xml:space="preserve">Povinnosti primeraných úprav sa líšia od povinností sprístupnenia. Cieľom obidvoch je zaručiť prístup, ale povinnosť sprístupnenia pomocou univerzálneho dizajnu alebo pomocných technológií je očakávanou povinnosťou, zatiaľ čo povinnosť zabezpečiť primerané úpravy je povinnosťou </w:t>
      </w:r>
      <w:r w:rsidRPr="000504B6">
        <w:rPr>
          <w:rFonts w:ascii="Times New Roman" w:hAnsi="Times New Roman" w:cs="Times New Roman"/>
          <w:i/>
          <w:sz w:val="20"/>
        </w:rPr>
        <w:t>s okamžitou platnosťou (ex nunc)</w:t>
      </w:r>
      <w:r w:rsidRPr="000504B6">
        <w:rPr>
          <w:rFonts w:ascii="Times New Roman" w:hAnsi="Times New Roman" w:cs="Times New Roman"/>
          <w:sz w:val="20"/>
        </w:rPr>
        <w:t>:</w:t>
      </w:r>
    </w:p>
    <w:p w:rsidR="00E1270E" w:rsidRPr="000504B6" w:rsidRDefault="008832F4">
      <w:pPr>
        <w:pStyle w:val="Odsekzoznamu"/>
        <w:numPr>
          <w:ilvl w:val="1"/>
          <w:numId w:val="4"/>
        </w:numPr>
        <w:tabs>
          <w:tab w:val="left" w:pos="2422"/>
        </w:tabs>
        <w:spacing w:before="121" w:line="249" w:lineRule="auto"/>
        <w:ind w:right="1287" w:firstLine="568"/>
        <w:jc w:val="both"/>
        <w:rPr>
          <w:rFonts w:ascii="Times New Roman" w:eastAsia="Times New Roman" w:hAnsi="Times New Roman" w:cs="Times New Roman"/>
          <w:sz w:val="20"/>
          <w:szCs w:val="20"/>
        </w:rPr>
      </w:pPr>
      <w:r w:rsidRPr="000504B6">
        <w:rPr>
          <w:rFonts w:ascii="Times New Roman" w:hAnsi="Times New Roman" w:cs="Times New Roman"/>
          <w:sz w:val="20"/>
        </w:rPr>
        <w:t>Ako okamžite platná povinnosť sa musí prístupnosť integrovať do systémov a procesov bez ohľadu na potrebu konkrétnej osoby so zdravotným postihnutím, napríklad mať prístup k budove, službe alebo produktu na rovnakom základe s ostatnými. Zmluvné štáty sú povinné stanoviť štandardy prístupnosti, ktoré sa vypracujú a prijmú po konzultácii so zastupiteľskými organizáciami osôb so zdravotným postihnutím v súlade s článkom 4 ods. 3 dohovoru. Povinnosť prístupnosti je proaktívna, systémová povinnosť;</w:t>
      </w:r>
    </w:p>
    <w:p w:rsidR="00E1270E" w:rsidRPr="000504B6" w:rsidRDefault="008832F4" w:rsidP="000504B6">
      <w:pPr>
        <w:pStyle w:val="Odsekzoznamu"/>
        <w:numPr>
          <w:ilvl w:val="1"/>
          <w:numId w:val="4"/>
        </w:numPr>
        <w:tabs>
          <w:tab w:val="left" w:pos="2422"/>
        </w:tabs>
        <w:spacing w:before="73" w:line="249" w:lineRule="auto"/>
        <w:ind w:right="1288" w:firstLine="568"/>
        <w:jc w:val="both"/>
        <w:rPr>
          <w:rFonts w:ascii="Times New Roman" w:hAnsi="Times New Roman" w:cs="Times New Roman"/>
        </w:rPr>
      </w:pPr>
      <w:r w:rsidRPr="000504B6">
        <w:rPr>
          <w:rFonts w:ascii="Times New Roman" w:hAnsi="Times New Roman" w:cs="Times New Roman"/>
          <w:sz w:val="20"/>
        </w:rPr>
        <w:t xml:space="preserve">Ako súčasť </w:t>
      </w:r>
      <w:r w:rsidRPr="000504B6">
        <w:rPr>
          <w:rFonts w:ascii="Times New Roman" w:hAnsi="Times New Roman" w:cs="Times New Roman"/>
          <w:i/>
          <w:sz w:val="20"/>
        </w:rPr>
        <w:t xml:space="preserve">okamžite platnej (ex nunc) </w:t>
      </w:r>
      <w:r w:rsidRPr="000504B6">
        <w:rPr>
          <w:rFonts w:ascii="Times New Roman" w:hAnsi="Times New Roman" w:cs="Times New Roman"/>
          <w:sz w:val="20"/>
        </w:rPr>
        <w:t xml:space="preserve">povinnosti sa musia primerané úpravy zabezpečiť od okamihu, keď osoba so zdravotným postihnutím požiada o prístup k neprístupným priestorom alebo prostrediam alebo si chce uplatniť svoje práva. Primerané úpravy požaduje často, ale nie nevyhnutne osoba, ktorá potrebuje prístup alebo príslušní zástupcovia osoby alebo skupiny osôb. Primerané úpravy sa musia prerokovať so žiadateľom/-mi. Za určitých okolností sa zabezpečené primerané úpravy stávajú </w:t>
      </w:r>
      <w:r w:rsidRPr="000504B6">
        <w:rPr>
          <w:rFonts w:ascii="Times New Roman" w:hAnsi="Times New Roman" w:cs="Times New Roman"/>
          <w:sz w:val="20"/>
        </w:rPr>
        <w:lastRenderedPageBreak/>
        <w:t>kolektívnym alebo verejným blahom. V ostatných prípadoch prinášajú primerané úpravy žiadateľovi/-om úžitok. Povinnosť zabezpečiť primerané úpravy je individualizovaná reaktívna povinnosť, ktorá sa uplatňuje od okamihu prijatia žiadosti o úpravy. Povinnosť primeraných úprav od jej nositeľa vyžaduje, aby začal viesť s osobou so zdravotným postihnutím dialóg. Dôležité je poznamenať, že</w:t>
      </w:r>
      <w:r w:rsidR="000504B6">
        <w:rPr>
          <w:rFonts w:ascii="Times New Roman" w:hAnsi="Times New Roman" w:cs="Times New Roman"/>
          <w:sz w:val="20"/>
        </w:rPr>
        <w:t xml:space="preserve"> </w:t>
      </w:r>
      <w:r w:rsidRPr="000504B6">
        <w:rPr>
          <w:rFonts w:ascii="Times New Roman" w:hAnsi="Times New Roman" w:cs="Times New Roman"/>
          <w:sz w:val="20"/>
        </w:rPr>
        <w:t>povinnosť zabezpečiť primerané úpravy sa netýka len situácií, v ktorých osoba so zdravotným postihnutím požiadala o úpravy alebo v ktorej by sa dalo preukázať, že údajný nositeľ tejto povinnosti skutočne vedel o zdravotnom postihnutí danej osoby. Mala by sa uplatňovať aj v situáciách, keď si potenciálny nositeľ tejto povinnosti mal uvedomiť, že daná osoba mala zdravotné postihnutie, ktoré by mohlo vyžadovať úpravy na riešenie prekážok pri výkone jej práv.</w:t>
      </w:r>
    </w:p>
    <w:p w:rsidR="00E1270E" w:rsidRPr="000504B6" w:rsidRDefault="008832F4">
      <w:pPr>
        <w:pStyle w:val="Odsekzoznamu"/>
        <w:numPr>
          <w:ilvl w:val="0"/>
          <w:numId w:val="4"/>
        </w:numPr>
        <w:tabs>
          <w:tab w:val="left" w:pos="1855"/>
        </w:tabs>
        <w:spacing w:before="121" w:line="249" w:lineRule="auto"/>
        <w:ind w:left="1286" w:right="1291" w:firstLine="0"/>
        <w:jc w:val="both"/>
        <w:rPr>
          <w:rFonts w:ascii="Times New Roman" w:eastAsia="Times New Roman" w:hAnsi="Times New Roman" w:cs="Times New Roman"/>
          <w:sz w:val="20"/>
          <w:szCs w:val="20"/>
        </w:rPr>
      </w:pPr>
      <w:r w:rsidRPr="000504B6">
        <w:rPr>
          <w:rFonts w:ascii="Times New Roman" w:hAnsi="Times New Roman" w:cs="Times New Roman"/>
          <w:sz w:val="20"/>
        </w:rPr>
        <w:t>Povinnosť zabezpečiť primerané úpravy v súlade s článkami 2 a 5 dohovoru možno rozdeliť na dve základné časti. Prvá časť ukladá pozitívny právny záväzok zabezpečiť primeranú úpravu vo forme zmeny alebo prispôsobenia, ktorá je v konkrétnom prípade potrebná a vhodná na zaistenie uplatňovania alebo výkonu práv osoby so zdravotným postihnutím. Druhá časť tejto povinnosti zabezpečuje, aby dané požadované primerané úpravy nepredstavovali pre jej nositeľa neúmerné alebo nadmerné zaťaženie.</w:t>
      </w:r>
    </w:p>
    <w:p w:rsidR="00E1270E" w:rsidRPr="000504B6" w:rsidRDefault="008832F4">
      <w:pPr>
        <w:pStyle w:val="Odsekzoznamu"/>
        <w:numPr>
          <w:ilvl w:val="1"/>
          <w:numId w:val="4"/>
        </w:numPr>
        <w:tabs>
          <w:tab w:val="left" w:pos="2422"/>
        </w:tabs>
        <w:spacing w:before="121" w:line="249" w:lineRule="auto"/>
        <w:ind w:right="1287" w:firstLine="568"/>
        <w:jc w:val="both"/>
        <w:rPr>
          <w:rFonts w:ascii="Times New Roman" w:eastAsia="Times New Roman" w:hAnsi="Times New Roman" w:cs="Times New Roman"/>
          <w:sz w:val="20"/>
          <w:szCs w:val="20"/>
        </w:rPr>
      </w:pPr>
      <w:r w:rsidRPr="000504B6">
        <w:rPr>
          <w:rFonts w:ascii="Times New Roman" w:hAnsi="Times New Roman" w:cs="Times New Roman"/>
          <w:sz w:val="20"/>
          <w:szCs w:val="20"/>
        </w:rPr>
        <w:t>„Primerané úpravy“ je slovné spojenie, kde by sa prívlastok „primeraný“ nemal nesprávne chápať ako výnimka. Pojem „primeranosti“ by nemal slúžiť ako rozlišovací kvalifikátor alebo modifikátor tejto povinnosti. Nie je to prostriedok, pomocou ktorého možno vykonať posúdenie nákladov na úpravy alebo dostupnosť zdrojov. K nemu dochádza až v neskoršom štádiu, keď sa posudzuje „neúmerné alebo nadmerné zaťaženie“. Primeranosť úpravy je skôr odkazom na jej relevantnosť, vhodnosť a účinnosť pre osobu so zdravotným postihnutím. Úprava je primeraná v prípade, že sa ňou dosahujú účely, na ktoré sa vykonáva, pričom zodpovedá požiadavkám osoby so zdravotným postihnutím tak, aby sa naplnili.</w:t>
      </w:r>
    </w:p>
    <w:p w:rsidR="00E1270E" w:rsidRPr="000504B6" w:rsidRDefault="008832F4">
      <w:pPr>
        <w:pStyle w:val="Odsekzoznamu"/>
        <w:numPr>
          <w:ilvl w:val="1"/>
          <w:numId w:val="4"/>
        </w:numPr>
        <w:tabs>
          <w:tab w:val="left" w:pos="2422"/>
        </w:tabs>
        <w:spacing w:before="121" w:line="249" w:lineRule="auto"/>
        <w:ind w:right="1288" w:firstLine="568"/>
        <w:jc w:val="both"/>
        <w:rPr>
          <w:rFonts w:ascii="Times New Roman" w:eastAsia="Times New Roman" w:hAnsi="Times New Roman" w:cs="Times New Roman"/>
          <w:sz w:val="20"/>
          <w:szCs w:val="20"/>
        </w:rPr>
      </w:pPr>
      <w:r w:rsidRPr="000504B6">
        <w:rPr>
          <w:rFonts w:ascii="Times New Roman" w:hAnsi="Times New Roman" w:cs="Times New Roman"/>
          <w:sz w:val="20"/>
          <w:szCs w:val="20"/>
        </w:rPr>
        <w:t>Slovné spojenie „neúmerné alebo nadmerné zaťaženie“ by sa malo chápať ako jeden pojem, ktorý ohraničuje povinnosť zabezpečiť primerané úpravy. Obidva pojmy by sa mali považovať za synonymá, keďže sa týkajú rovnakej myšlienky, t. j. že žiadosť o primerané úpravy musí byť viazaná možným nadmerným alebo neodôvodneným zaťažením subjektu, ktorý úpravy vykonáva.</w:t>
      </w:r>
    </w:p>
    <w:p w:rsidR="00E1270E" w:rsidRPr="000504B6" w:rsidRDefault="008832F4">
      <w:pPr>
        <w:pStyle w:val="Odsekzoznamu"/>
        <w:numPr>
          <w:ilvl w:val="1"/>
          <w:numId w:val="4"/>
        </w:numPr>
        <w:tabs>
          <w:tab w:val="left" w:pos="2422"/>
        </w:tabs>
        <w:spacing w:before="121" w:line="249" w:lineRule="auto"/>
        <w:ind w:right="1286" w:firstLine="568"/>
        <w:jc w:val="both"/>
        <w:rPr>
          <w:rFonts w:ascii="Times New Roman" w:eastAsia="Times New Roman" w:hAnsi="Times New Roman" w:cs="Times New Roman"/>
          <w:sz w:val="20"/>
          <w:szCs w:val="20"/>
        </w:rPr>
      </w:pPr>
      <w:r w:rsidRPr="000504B6">
        <w:rPr>
          <w:rFonts w:ascii="Times New Roman" w:hAnsi="Times New Roman" w:cs="Times New Roman"/>
          <w:sz w:val="20"/>
          <w:szCs w:val="20"/>
        </w:rPr>
        <w:t>„Primerané úpravy“ by sa nemali zamieňať ani so „špecifickými opatreniami“ vrátane „opatrení pozitívnej diskriminácie“. Aj keď sa obidva pojmy zameriavajú na dosiahnutie faktickej rovnosti, primerané úpravy predstavujú nediskriminačnú povinnosť, zatiaľ čo špecifické opatrenia znamenajú preferenčný prístup k osobám so zdravotným postihnutím, t. j. ich uprednostňovanie pred ostatnými s cieľom riešiť ich historické a/alebo systematické/systémové vylúčenie z výhod plynúcich z uplatňovania práv. Medzi príklady špecifických opatrení patria dočasné opatrenia na boj proti nízkym počtom žien so zdravotným postihnutím, ktoré sú zamestnané v súkromnom sektore, ako aj podporné programy na zvýšenie počtu študentov so zdravotným postihnutím v terciárnom vzdelávaní. Takisto by sa nemali primerané úpravy zamieňať s poskytovaním podpory vyplývajúcej z práva na nezávislý spôsob života a začlenenie do spoločnosti, ako napr. zabezpečenie osobných asistentov ani s poskytovaním pomoci pri výkone právnej spôsobilosti.</w:t>
      </w:r>
    </w:p>
    <w:p w:rsidR="00E1270E" w:rsidRPr="000504B6" w:rsidRDefault="008832F4">
      <w:pPr>
        <w:pStyle w:val="Odsekzoznamu"/>
        <w:numPr>
          <w:ilvl w:val="1"/>
          <w:numId w:val="4"/>
        </w:numPr>
        <w:tabs>
          <w:tab w:val="left" w:pos="2422"/>
        </w:tabs>
        <w:spacing w:before="121" w:line="249" w:lineRule="auto"/>
        <w:ind w:right="1286" w:firstLine="568"/>
        <w:jc w:val="both"/>
        <w:rPr>
          <w:rFonts w:ascii="Times New Roman" w:eastAsia="Times New Roman" w:hAnsi="Times New Roman" w:cs="Times New Roman"/>
          <w:sz w:val="20"/>
          <w:szCs w:val="20"/>
        </w:rPr>
      </w:pPr>
      <w:r w:rsidRPr="000504B6">
        <w:rPr>
          <w:rFonts w:ascii="Times New Roman" w:hAnsi="Times New Roman" w:cs="Times New Roman"/>
          <w:sz w:val="20"/>
          <w:szCs w:val="20"/>
        </w:rPr>
        <w:t>„Procesné úpravy“ v súvislosti s prístupom k spravodlivosti by sa nemali zamieňať s primeranými úpravami. Primerané úpravy ohraničuje pojem neúmernosti, zatiaľ čo u procesných úprav to tak nie je.</w:t>
      </w:r>
    </w:p>
    <w:p w:rsidR="00E1270E" w:rsidRPr="000504B6" w:rsidRDefault="008832F4">
      <w:pPr>
        <w:pStyle w:val="Odsekzoznamu"/>
        <w:numPr>
          <w:ilvl w:val="0"/>
          <w:numId w:val="4"/>
        </w:numPr>
        <w:tabs>
          <w:tab w:val="left" w:pos="1855"/>
        </w:tabs>
        <w:spacing w:before="121" w:line="249" w:lineRule="auto"/>
        <w:ind w:left="1286" w:right="1292" w:firstLine="0"/>
        <w:jc w:val="both"/>
        <w:rPr>
          <w:rFonts w:ascii="Times New Roman" w:eastAsia="Times New Roman" w:hAnsi="Times New Roman" w:cs="Times New Roman"/>
          <w:sz w:val="20"/>
          <w:szCs w:val="20"/>
        </w:rPr>
      </w:pPr>
      <w:r w:rsidRPr="000504B6">
        <w:rPr>
          <w:rFonts w:ascii="Times New Roman" w:hAnsi="Times New Roman" w:cs="Times New Roman"/>
          <w:sz w:val="20"/>
        </w:rPr>
        <w:t>Medzi kľúčové prvky, ktoré usmerňujú plnenie povinnosti zabezpečovať primerané úpravy, patria:</w:t>
      </w:r>
    </w:p>
    <w:p w:rsidR="00E1270E" w:rsidRPr="000504B6" w:rsidRDefault="008832F4">
      <w:pPr>
        <w:pStyle w:val="Odsekzoznamu"/>
        <w:numPr>
          <w:ilvl w:val="1"/>
          <w:numId w:val="4"/>
        </w:numPr>
        <w:tabs>
          <w:tab w:val="left" w:pos="2422"/>
        </w:tabs>
        <w:spacing w:before="121" w:line="249" w:lineRule="auto"/>
        <w:ind w:right="1293" w:firstLine="568"/>
        <w:jc w:val="both"/>
        <w:rPr>
          <w:rFonts w:ascii="Times New Roman" w:eastAsia="Times New Roman" w:hAnsi="Times New Roman" w:cs="Times New Roman"/>
          <w:sz w:val="20"/>
          <w:szCs w:val="20"/>
        </w:rPr>
      </w:pPr>
      <w:r w:rsidRPr="000504B6">
        <w:rPr>
          <w:rFonts w:ascii="Times New Roman" w:hAnsi="Times New Roman" w:cs="Times New Roman"/>
          <w:sz w:val="20"/>
        </w:rPr>
        <w:t>identifikácia a odstraňovanie prekážok, ktoré majú vplyv na uplatňovanie ľudských práv osobami so zdravotným postihnutím, a to v rámci vzájomného dialógu s takýmito osobami;</w:t>
      </w:r>
    </w:p>
    <w:p w:rsidR="00E1270E" w:rsidRPr="000504B6" w:rsidRDefault="008832F4">
      <w:pPr>
        <w:pStyle w:val="Odsekzoznamu"/>
        <w:numPr>
          <w:ilvl w:val="1"/>
          <w:numId w:val="4"/>
        </w:numPr>
        <w:tabs>
          <w:tab w:val="left" w:pos="2422"/>
        </w:tabs>
        <w:spacing w:before="121" w:line="249" w:lineRule="auto"/>
        <w:ind w:right="1285" w:firstLine="568"/>
        <w:jc w:val="both"/>
        <w:rPr>
          <w:rFonts w:ascii="Times New Roman" w:eastAsia="Times New Roman" w:hAnsi="Times New Roman" w:cs="Times New Roman"/>
          <w:sz w:val="20"/>
          <w:szCs w:val="20"/>
        </w:rPr>
      </w:pPr>
      <w:r w:rsidRPr="000504B6">
        <w:rPr>
          <w:rFonts w:ascii="Times New Roman" w:hAnsi="Times New Roman" w:cs="Times New Roman"/>
          <w:sz w:val="20"/>
          <w:szCs w:val="20"/>
        </w:rPr>
        <w:t>posúdenie, či je daná úprava realizovateľná (zákonne i prakticky) – úprava, ktoré je zákonne či materiálne nemožná, nie je uskutočniteľná;</w:t>
      </w:r>
    </w:p>
    <w:p w:rsidR="00E1270E" w:rsidRPr="000504B6" w:rsidRDefault="008832F4">
      <w:pPr>
        <w:pStyle w:val="Odsekzoznamu"/>
        <w:numPr>
          <w:ilvl w:val="1"/>
          <w:numId w:val="4"/>
        </w:numPr>
        <w:tabs>
          <w:tab w:val="left" w:pos="2422"/>
        </w:tabs>
        <w:spacing w:before="121" w:line="249" w:lineRule="auto"/>
        <w:ind w:right="1291" w:firstLine="568"/>
        <w:jc w:val="both"/>
        <w:rPr>
          <w:rFonts w:ascii="Times New Roman" w:eastAsia="Times New Roman" w:hAnsi="Times New Roman" w:cs="Times New Roman"/>
          <w:sz w:val="20"/>
          <w:szCs w:val="20"/>
        </w:rPr>
      </w:pPr>
      <w:r w:rsidRPr="000504B6">
        <w:rPr>
          <w:rFonts w:ascii="Times New Roman" w:hAnsi="Times New Roman" w:cs="Times New Roman"/>
          <w:sz w:val="20"/>
        </w:rPr>
        <w:t>posúdenie, či je úprava relevantná (t. j. potrebná a vhodná) alebo účinná pri zabezpečovaní výkonu príslušného práva;</w:t>
      </w:r>
    </w:p>
    <w:p w:rsidR="00E1270E" w:rsidRPr="000504B6" w:rsidRDefault="008832F4" w:rsidP="000504B6">
      <w:pPr>
        <w:pStyle w:val="Odsekzoznamu"/>
        <w:numPr>
          <w:ilvl w:val="1"/>
          <w:numId w:val="4"/>
        </w:numPr>
        <w:tabs>
          <w:tab w:val="left" w:pos="2422"/>
        </w:tabs>
        <w:spacing w:before="73" w:line="249" w:lineRule="auto"/>
        <w:ind w:right="1293" w:firstLine="568"/>
        <w:jc w:val="both"/>
        <w:rPr>
          <w:rFonts w:ascii="Times New Roman" w:hAnsi="Times New Roman" w:cs="Times New Roman"/>
        </w:rPr>
      </w:pPr>
      <w:r w:rsidRPr="000504B6">
        <w:rPr>
          <w:rFonts w:ascii="Times New Roman" w:hAnsi="Times New Roman" w:cs="Times New Roman"/>
          <w:sz w:val="20"/>
        </w:rPr>
        <w:t xml:space="preserve">posúdenie, či táto úprava predstavuje pre nositeľa povinnosti neúmerné alebo nadmerné zaťaženie; určenie, či si primeraná úprava, ktorá je neúmerná alebo nadmerne </w:t>
      </w:r>
      <w:r w:rsidRPr="000504B6">
        <w:rPr>
          <w:rFonts w:ascii="Times New Roman" w:hAnsi="Times New Roman" w:cs="Times New Roman"/>
          <w:sz w:val="20"/>
        </w:rPr>
        <w:lastRenderedPageBreak/>
        <w:t>zaťažujúca, vyžaduje posúdenie pomerného</w:t>
      </w:r>
      <w:r w:rsidR="000504B6">
        <w:rPr>
          <w:rFonts w:ascii="Times New Roman" w:hAnsi="Times New Roman" w:cs="Times New Roman"/>
          <w:sz w:val="20"/>
        </w:rPr>
        <w:t xml:space="preserve"> </w:t>
      </w:r>
      <w:r w:rsidRPr="000504B6">
        <w:rPr>
          <w:rFonts w:ascii="Times New Roman" w:hAnsi="Times New Roman" w:cs="Times New Roman"/>
          <w:sz w:val="20"/>
        </w:rPr>
        <w:t>vzťahu medzi použitými prostriedkami a jej cieľom, ktorým je uplatňovanie príslušného práva;</w:t>
      </w:r>
    </w:p>
    <w:p w:rsidR="00E1270E" w:rsidRPr="000504B6" w:rsidRDefault="008832F4">
      <w:pPr>
        <w:pStyle w:val="Odsekzoznamu"/>
        <w:numPr>
          <w:ilvl w:val="1"/>
          <w:numId w:val="4"/>
        </w:numPr>
        <w:tabs>
          <w:tab w:val="left" w:pos="2422"/>
        </w:tabs>
        <w:spacing w:before="121" w:line="249" w:lineRule="auto"/>
        <w:ind w:right="1284" w:firstLine="568"/>
        <w:jc w:val="both"/>
        <w:rPr>
          <w:rFonts w:ascii="Times New Roman" w:eastAsia="Times New Roman" w:hAnsi="Times New Roman" w:cs="Times New Roman"/>
          <w:sz w:val="20"/>
          <w:szCs w:val="20"/>
        </w:rPr>
      </w:pPr>
      <w:r w:rsidRPr="000504B6">
        <w:rPr>
          <w:rFonts w:ascii="Times New Roman" w:hAnsi="Times New Roman" w:cs="Times New Roman"/>
          <w:sz w:val="20"/>
        </w:rPr>
        <w:t>zabezpečenie, aby bola primeraná úprava vhodná na dosiahnutie základného cieľa podpory rovnosti a odstránenia diskriminácie osôb so zdravotným postihnutím. Vyžaduje sa preto individuálny prístup založený na konzultáciách s príslušným orgánom, ktorý je poverený vykonaním primeraných úprav a príslušnou osobou. Potenciálne faktory na zváženie zahŕňajú finančné náklady, dostupné zdroje (vrátane verejných dotácií), veľkosť subjektu (ako celku) vykonávajúceho úpravy, vplyv daných úprav na inštitúciu alebo podnik, úžitky tretej strany, negatívne dopady na iné osoby a primerané požiadavky na ochranu zdravia a bezpečnosť. Pokiaľ ide o zmluvný štát ako celok a subjekty súkromného sektora, je potrebné zohľadniť skôr celkové aktíva ako zdroje oddelenia alebo odboru v rámci organizačnej štruktúry;</w:t>
      </w:r>
    </w:p>
    <w:p w:rsidR="00E1270E" w:rsidRPr="000504B6" w:rsidRDefault="008832F4">
      <w:pPr>
        <w:pStyle w:val="Odsekzoznamu"/>
        <w:numPr>
          <w:ilvl w:val="1"/>
          <w:numId w:val="4"/>
        </w:numPr>
        <w:tabs>
          <w:tab w:val="left" w:pos="2366"/>
        </w:tabs>
        <w:spacing w:before="121"/>
        <w:ind w:left="2366" w:right="1233" w:hanging="512"/>
        <w:rPr>
          <w:rFonts w:ascii="Times New Roman" w:eastAsia="Times New Roman" w:hAnsi="Times New Roman" w:cs="Times New Roman"/>
          <w:sz w:val="20"/>
          <w:szCs w:val="20"/>
        </w:rPr>
      </w:pPr>
      <w:r w:rsidRPr="000504B6">
        <w:rPr>
          <w:rFonts w:ascii="Times New Roman" w:hAnsi="Times New Roman" w:cs="Times New Roman"/>
          <w:sz w:val="20"/>
        </w:rPr>
        <w:t>zabezpečenie, aby osobám so zdravotným postihnutím nevznikali náklady v širšom slova zmysle;</w:t>
      </w:r>
    </w:p>
    <w:p w:rsidR="00E1270E" w:rsidRPr="000504B6" w:rsidRDefault="008832F4">
      <w:pPr>
        <w:pStyle w:val="Odsekzoznamu"/>
        <w:numPr>
          <w:ilvl w:val="1"/>
          <w:numId w:val="4"/>
        </w:numPr>
        <w:tabs>
          <w:tab w:val="left" w:pos="2422"/>
        </w:tabs>
        <w:spacing w:before="130" w:line="249" w:lineRule="auto"/>
        <w:ind w:right="1296" w:firstLine="568"/>
        <w:jc w:val="both"/>
        <w:rPr>
          <w:rFonts w:ascii="Times New Roman" w:eastAsia="Times New Roman" w:hAnsi="Times New Roman" w:cs="Times New Roman"/>
          <w:sz w:val="20"/>
          <w:szCs w:val="20"/>
        </w:rPr>
      </w:pPr>
      <w:r w:rsidRPr="000504B6">
        <w:rPr>
          <w:rFonts w:ascii="Times New Roman" w:hAnsi="Times New Roman" w:cs="Times New Roman"/>
          <w:sz w:val="20"/>
        </w:rPr>
        <w:t>zabezpečenie, aby bolo dôkazné bremeno na strane nositeľa povinnosti, ktorý tvrdí, že by bolo jeho zaťaženie neúmerné alebo nadmerné.</w:t>
      </w:r>
    </w:p>
    <w:p w:rsidR="00E1270E" w:rsidRPr="000504B6" w:rsidRDefault="008832F4">
      <w:pPr>
        <w:pStyle w:val="Odsekzoznamu"/>
        <w:numPr>
          <w:ilvl w:val="0"/>
          <w:numId w:val="4"/>
        </w:numPr>
        <w:tabs>
          <w:tab w:val="left" w:pos="1855"/>
        </w:tabs>
        <w:spacing w:before="121" w:line="249" w:lineRule="auto"/>
        <w:ind w:left="1286" w:right="1290" w:firstLine="0"/>
        <w:jc w:val="both"/>
        <w:rPr>
          <w:rFonts w:ascii="Times New Roman" w:eastAsia="Times New Roman" w:hAnsi="Times New Roman" w:cs="Times New Roman"/>
          <w:sz w:val="20"/>
          <w:szCs w:val="20"/>
        </w:rPr>
      </w:pPr>
      <w:r w:rsidRPr="000504B6">
        <w:rPr>
          <w:rFonts w:ascii="Times New Roman" w:hAnsi="Times New Roman" w:cs="Times New Roman"/>
          <w:sz w:val="20"/>
        </w:rPr>
        <w:t>Každé odôvodnenie odmietnutia primeraných úprav sa musí zakladať na objektívnych kritériách, pričom sa musí analyzovať a včas oznámiť danej osobe so zdravotným postihnutím. Posúdenie odôvodnenia z hľadiska primeraných úprav súvisí s dĺžkou vzťahu medzi nositeľom povinnosti a držiteľom práv.</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3"/>
        </w:numPr>
        <w:tabs>
          <w:tab w:val="left" w:pos="1286"/>
        </w:tabs>
        <w:ind w:right="1311" w:hanging="502"/>
        <w:rPr>
          <w:rFonts w:cs="Times New Roman"/>
          <w:b w:val="0"/>
          <w:bCs w:val="0"/>
        </w:rPr>
      </w:pPr>
      <w:r w:rsidRPr="000504B6">
        <w:rPr>
          <w:rFonts w:cs="Times New Roman"/>
        </w:rPr>
        <w:t>Článok 5 ods. 4 o špecifických opatreniach</w:t>
      </w:r>
    </w:p>
    <w:p w:rsidR="00E1270E" w:rsidRPr="000504B6" w:rsidRDefault="00E1270E">
      <w:pPr>
        <w:spacing w:before="5"/>
        <w:rPr>
          <w:rFonts w:ascii="Times New Roman" w:eastAsia="Times New Roman" w:hAnsi="Times New Roman" w:cs="Times New Roman"/>
          <w:b/>
          <w:bCs/>
          <w:sz w:val="21"/>
          <w:szCs w:val="21"/>
        </w:rPr>
      </w:pPr>
    </w:p>
    <w:p w:rsidR="00E1270E" w:rsidRPr="000504B6" w:rsidRDefault="008832F4">
      <w:pPr>
        <w:pStyle w:val="Odsekzoznamu"/>
        <w:numPr>
          <w:ilvl w:val="0"/>
          <w:numId w:val="4"/>
        </w:numPr>
        <w:tabs>
          <w:tab w:val="left" w:pos="1855"/>
        </w:tabs>
        <w:spacing w:line="249" w:lineRule="auto"/>
        <w:ind w:left="1286" w:right="1288" w:firstLine="0"/>
        <w:jc w:val="both"/>
        <w:rPr>
          <w:rFonts w:ascii="Times New Roman" w:eastAsia="Times New Roman" w:hAnsi="Times New Roman" w:cs="Times New Roman"/>
          <w:sz w:val="20"/>
          <w:szCs w:val="20"/>
        </w:rPr>
      </w:pPr>
      <w:r w:rsidRPr="000504B6">
        <w:rPr>
          <w:rFonts w:ascii="Times New Roman" w:hAnsi="Times New Roman" w:cs="Times New Roman"/>
          <w:sz w:val="20"/>
        </w:rPr>
        <w:t>Špecifické opatrenia, ktoré nemožno považovať za diskrimináciu, sú kladné, resp. pozitívne opatrenia, ktorých cieľom je urýchliť alebo dosiahnuť faktickú rovnosť osôb so zdravotným postihnutím. Takéto opatrenia sú uvedené v iných medzinárodných zmluvách o ľudských právach, ako napr. v článku 4 Dohovoru o odstránení všetkých foriem diskriminácie žien alebo v článku 1 ods. 4 Medzinárodného dohovoru o odstránení všetkých foriem rasovej diskriminácie, pričom si vyžadujú prijatie alebo zachovanie určitých výhod v prospech nedostatočne zastúpenej alebo marginalizovanej skupiny. Majú zvyčajne dočasný charakter, aj keď v niektorých prípadoch sú potrebné trvalé špecifické opatrenia v závislosti od kontextu a okolností, a to aj z dôvodu konkrétnej poruchy alebo štrukturálnych bariér spoločnosti. Medzi príklady špecifických opatrení patria pomocné a podporné programy, rozdelenie a/alebo prerozdelenie zdrojov, cielené získavanie nových pracovníkov, nábor a podpora, systémy kvót, opatrenia na zlepšenie a posilnenie postavenia, ako aj respitná starostlivosť a technologické pomôcky.</w:t>
      </w:r>
    </w:p>
    <w:p w:rsidR="00E1270E" w:rsidRPr="000504B6" w:rsidRDefault="008832F4">
      <w:pPr>
        <w:pStyle w:val="Odsekzoznamu"/>
        <w:numPr>
          <w:ilvl w:val="0"/>
          <w:numId w:val="4"/>
        </w:numPr>
        <w:tabs>
          <w:tab w:val="left" w:pos="1855"/>
        </w:tabs>
        <w:spacing w:before="121" w:line="249" w:lineRule="auto"/>
        <w:ind w:left="1286" w:right="1285" w:firstLine="0"/>
        <w:jc w:val="both"/>
        <w:rPr>
          <w:rFonts w:ascii="Times New Roman" w:eastAsia="Times New Roman" w:hAnsi="Times New Roman" w:cs="Times New Roman"/>
          <w:sz w:val="20"/>
          <w:szCs w:val="20"/>
        </w:rPr>
      </w:pPr>
      <w:r w:rsidRPr="000504B6">
        <w:rPr>
          <w:rFonts w:ascii="Times New Roman" w:hAnsi="Times New Roman" w:cs="Times New Roman"/>
          <w:sz w:val="20"/>
        </w:rPr>
        <w:t>Špecifické opatrenia prijaté zmluvnými štátmi podľa článku 5 ods. 4 dohovoru musia byť v súlade so všetkými jeho zásadami a ustanoveniami. Predovšetkým nesmú viesť k pretrvávaniu izolácie, segregácie, stereotypov, stigmatizácie alebo inej diskriminácie osôb so zdravotným postihnutím. Zmluvné štáty musia preto prijímanie špecifických opatrení dôkladne konzultovať so zastupiteľskými organizáciami osôb so zdravotným postihnutím a aktívne ich do tohto procesu zapájať.</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1"/>
        <w:numPr>
          <w:ilvl w:val="0"/>
          <w:numId w:val="5"/>
        </w:numPr>
        <w:tabs>
          <w:tab w:val="left" w:pos="1286"/>
        </w:tabs>
        <w:spacing w:before="126" w:line="300" w:lineRule="exact"/>
        <w:ind w:left="1286" w:right="1652" w:hanging="663"/>
        <w:jc w:val="left"/>
        <w:rPr>
          <w:rFonts w:cs="Times New Roman"/>
          <w:b w:val="0"/>
          <w:bCs w:val="0"/>
        </w:rPr>
      </w:pPr>
      <w:r w:rsidRPr="000504B6">
        <w:rPr>
          <w:rFonts w:cs="Times New Roman"/>
        </w:rPr>
        <w:t>Všeobecné povinnosti zmluvných štátov podľa dohovoru týkajúce sa nediskriminácie a rovnosti</w:t>
      </w:r>
    </w:p>
    <w:p w:rsidR="00E1270E" w:rsidRPr="00310E2A" w:rsidRDefault="008832F4" w:rsidP="00310E2A">
      <w:pPr>
        <w:pStyle w:val="Odsekzoznamu"/>
        <w:numPr>
          <w:ilvl w:val="0"/>
          <w:numId w:val="4"/>
        </w:numPr>
        <w:tabs>
          <w:tab w:val="left" w:pos="1855"/>
        </w:tabs>
        <w:spacing w:before="73" w:line="249" w:lineRule="auto"/>
        <w:ind w:left="1286" w:right="1286" w:firstLine="0"/>
        <w:jc w:val="both"/>
        <w:rPr>
          <w:rFonts w:ascii="Times New Roman" w:hAnsi="Times New Roman" w:cs="Times New Roman"/>
          <w:sz w:val="12"/>
          <w:szCs w:val="12"/>
        </w:rPr>
      </w:pPr>
      <w:r w:rsidRPr="00310E2A">
        <w:rPr>
          <w:rFonts w:ascii="Times New Roman" w:hAnsi="Times New Roman" w:cs="Times New Roman"/>
          <w:sz w:val="20"/>
        </w:rPr>
        <w:t>Zmluvné štáty sú povinné rešpektovať, chrániť a dodržiavať právo všetkých osôb so zdravotným postihnutím na nediskrimináciu a rovnosť. V tejto súvislosti sa musia zmluvné štáty zdržať akéhokoľvek konania, ktoré diskriminuje osoby so zdravotným postihnutím. Najmä sú povinné upraviť alebo zrušiť existujúce zákony, predpisy, zvyky a praktiky predstavujúce takúto diskrimináciu. Výbor často v tomto ohľade uvádza príklady vrátane zákonov o opatrovníctve a iných pravidiel porušujúcich právo na právnu spôsobilosť;</w:t>
      </w:r>
      <w:r w:rsidR="000504B6">
        <w:rPr>
          <w:rStyle w:val="Odkaznapoznmkupodiarou"/>
          <w:rFonts w:ascii="Times New Roman" w:hAnsi="Times New Roman" w:cs="Times New Roman"/>
          <w:sz w:val="20"/>
        </w:rPr>
        <w:footnoteReference w:id="6"/>
      </w:r>
      <w:r w:rsidR="00310E2A">
        <w:rPr>
          <w:rFonts w:ascii="Times New Roman" w:hAnsi="Times New Roman" w:cs="Times New Roman"/>
          <w:sz w:val="20"/>
        </w:rPr>
        <w:t xml:space="preserve"> </w:t>
      </w:r>
      <w:r w:rsidRPr="00310E2A">
        <w:rPr>
          <w:rFonts w:ascii="Times New Roman" w:hAnsi="Times New Roman" w:cs="Times New Roman"/>
          <w:sz w:val="20"/>
          <w:szCs w:val="20"/>
        </w:rPr>
        <w:t>zákonov o duševnom zdraví oficiálne povoľujúcich nútenú inštitucionalizáciu (t.j. umiestňovanie do ústavnej starostlivosti) a nútenú liečbu, ktoré sú diskriminačné a musia byť zrušené;</w:t>
      </w:r>
      <w:r w:rsidR="00310E2A">
        <w:rPr>
          <w:rStyle w:val="Odkaznapoznmkupodiarou"/>
          <w:rFonts w:ascii="Times New Roman" w:hAnsi="Times New Roman" w:cs="Times New Roman"/>
          <w:sz w:val="20"/>
          <w:szCs w:val="20"/>
        </w:rPr>
        <w:footnoteReference w:id="7"/>
      </w:r>
      <w:r w:rsidRPr="00310E2A">
        <w:rPr>
          <w:rFonts w:ascii="Times New Roman" w:hAnsi="Times New Roman" w:cs="Times New Roman"/>
          <w:sz w:val="20"/>
          <w:szCs w:val="20"/>
        </w:rPr>
        <w:t xml:space="preserve"> nedobrovoľnej sterilizácie žien a dievčat so zdravotným postihnutím; politík </w:t>
      </w:r>
      <w:r w:rsidRPr="00310E2A">
        <w:rPr>
          <w:rFonts w:ascii="Times New Roman" w:hAnsi="Times New Roman" w:cs="Times New Roman"/>
          <w:sz w:val="20"/>
          <w:szCs w:val="20"/>
        </w:rPr>
        <w:lastRenderedPageBreak/>
        <w:t>umožňujúcich nedostupné bývanie a umiestňovanie do ústavnej starostlivosti;</w:t>
      </w:r>
      <w:r w:rsidR="00310E2A">
        <w:rPr>
          <w:rStyle w:val="Odkaznapoznmkupodiarou"/>
          <w:rFonts w:ascii="Times New Roman" w:hAnsi="Times New Roman" w:cs="Times New Roman"/>
          <w:sz w:val="20"/>
          <w:szCs w:val="20"/>
        </w:rPr>
        <w:footnoteReference w:id="8"/>
      </w:r>
      <w:r w:rsidRPr="00310E2A">
        <w:rPr>
          <w:rFonts w:ascii="Times New Roman" w:hAnsi="Times New Roman" w:cs="Times New Roman"/>
          <w:sz w:val="20"/>
          <w:szCs w:val="20"/>
        </w:rPr>
        <w:t xml:space="preserve"> zákonov a politík umožňujúcich segregované vzdelávanie</w:t>
      </w:r>
      <w:r w:rsidR="00310E2A">
        <w:rPr>
          <w:rStyle w:val="Odkaznapoznmkupodiarou"/>
          <w:rFonts w:ascii="Times New Roman" w:hAnsi="Times New Roman" w:cs="Times New Roman"/>
          <w:sz w:val="20"/>
          <w:szCs w:val="20"/>
        </w:rPr>
        <w:footnoteReference w:id="9"/>
      </w:r>
      <w:r w:rsidRPr="00310E2A">
        <w:rPr>
          <w:rFonts w:ascii="Times New Roman" w:hAnsi="Times New Roman" w:cs="Times New Roman"/>
          <w:sz w:val="20"/>
          <w:szCs w:val="20"/>
        </w:rPr>
        <w:t xml:space="preserve"> a volebných zákonov, ktoré odoberajú občanom so zdravotným postihnutím hlasovacie práva.</w:t>
      </w:r>
      <w:r w:rsidR="00310E2A">
        <w:rPr>
          <w:rStyle w:val="Odkaznapoznmkupodiarou"/>
          <w:rFonts w:ascii="Times New Roman" w:hAnsi="Times New Roman" w:cs="Times New Roman"/>
          <w:sz w:val="20"/>
          <w:szCs w:val="20"/>
        </w:rPr>
        <w:footnoteReference w:id="10"/>
      </w:r>
    </w:p>
    <w:p w:rsidR="00E1270E" w:rsidRPr="000504B6" w:rsidRDefault="008832F4">
      <w:pPr>
        <w:pStyle w:val="Odsekzoznamu"/>
        <w:numPr>
          <w:ilvl w:val="0"/>
          <w:numId w:val="4"/>
        </w:numPr>
        <w:tabs>
          <w:tab w:val="left" w:pos="1855"/>
        </w:tabs>
        <w:spacing w:before="121" w:line="249" w:lineRule="auto"/>
        <w:ind w:left="1286" w:right="1289" w:firstLine="0"/>
        <w:jc w:val="both"/>
        <w:rPr>
          <w:rFonts w:ascii="Times New Roman" w:eastAsia="Times New Roman" w:hAnsi="Times New Roman" w:cs="Times New Roman"/>
          <w:sz w:val="20"/>
          <w:szCs w:val="20"/>
        </w:rPr>
      </w:pPr>
      <w:r w:rsidRPr="000504B6">
        <w:rPr>
          <w:rFonts w:ascii="Times New Roman" w:hAnsi="Times New Roman" w:cs="Times New Roman"/>
          <w:sz w:val="20"/>
        </w:rPr>
        <w:t>Účinné uplatňovanie práv na rovnosť a nediskrimináciu si vyžaduje prijatie opatrení na presadzovanie, ako napríklad:</w:t>
      </w:r>
    </w:p>
    <w:p w:rsidR="00E1270E" w:rsidRPr="000504B6" w:rsidRDefault="008832F4">
      <w:pPr>
        <w:pStyle w:val="Odsekzoznamu"/>
        <w:numPr>
          <w:ilvl w:val="1"/>
          <w:numId w:val="4"/>
        </w:numPr>
        <w:tabs>
          <w:tab w:val="left" w:pos="2422"/>
        </w:tabs>
        <w:spacing w:before="121" w:line="249" w:lineRule="auto"/>
        <w:ind w:right="1294" w:firstLine="568"/>
        <w:jc w:val="both"/>
        <w:rPr>
          <w:rFonts w:ascii="Times New Roman" w:eastAsia="Times New Roman" w:hAnsi="Times New Roman" w:cs="Times New Roman"/>
          <w:sz w:val="20"/>
          <w:szCs w:val="20"/>
        </w:rPr>
      </w:pPr>
      <w:r w:rsidRPr="000504B6">
        <w:rPr>
          <w:rFonts w:ascii="Times New Roman" w:hAnsi="Times New Roman" w:cs="Times New Roman"/>
          <w:sz w:val="20"/>
        </w:rPr>
        <w:t>opatrenia na zvýšenie informovanosti všetkých ľudí o právach osôb so zdravotným postihnutím podľa dohovoru, význame diskriminácie a existujúcich súdnych opravných prostriedkoch;</w:t>
      </w:r>
    </w:p>
    <w:p w:rsidR="00E1270E" w:rsidRPr="000504B6" w:rsidRDefault="008832F4">
      <w:pPr>
        <w:pStyle w:val="Odsekzoznamu"/>
        <w:numPr>
          <w:ilvl w:val="1"/>
          <w:numId w:val="4"/>
        </w:numPr>
        <w:tabs>
          <w:tab w:val="left" w:pos="2422"/>
        </w:tabs>
        <w:spacing w:before="121" w:line="249" w:lineRule="auto"/>
        <w:ind w:right="1292" w:firstLine="568"/>
        <w:jc w:val="both"/>
        <w:rPr>
          <w:rFonts w:ascii="Times New Roman" w:eastAsia="Times New Roman" w:hAnsi="Times New Roman" w:cs="Times New Roman"/>
          <w:sz w:val="20"/>
          <w:szCs w:val="20"/>
        </w:rPr>
      </w:pPr>
      <w:r w:rsidRPr="000504B6">
        <w:rPr>
          <w:rFonts w:ascii="Times New Roman" w:hAnsi="Times New Roman" w:cs="Times New Roman"/>
          <w:sz w:val="20"/>
        </w:rPr>
        <w:t>opatrenia na zabezpečenie práv obsiahnutých v dohovore sú uplatniteľné na vnútroštátnych súdoch a umožňujú prístup k spravodlivosti všetkým osobám, ktoré zažili diskrimináciu;</w:t>
      </w:r>
    </w:p>
    <w:p w:rsidR="00E1270E" w:rsidRPr="000504B6" w:rsidRDefault="008832F4">
      <w:pPr>
        <w:pStyle w:val="Odsekzoznamu"/>
        <w:numPr>
          <w:ilvl w:val="1"/>
          <w:numId w:val="4"/>
        </w:numPr>
        <w:tabs>
          <w:tab w:val="left" w:pos="2422"/>
        </w:tabs>
        <w:spacing w:before="121" w:line="249" w:lineRule="auto"/>
        <w:ind w:right="1291" w:firstLine="568"/>
        <w:jc w:val="both"/>
        <w:rPr>
          <w:rFonts w:ascii="Times New Roman" w:eastAsia="Times New Roman" w:hAnsi="Times New Roman" w:cs="Times New Roman"/>
          <w:sz w:val="20"/>
          <w:szCs w:val="20"/>
        </w:rPr>
      </w:pPr>
      <w:r w:rsidRPr="000504B6">
        <w:rPr>
          <w:rFonts w:ascii="Times New Roman" w:hAnsi="Times New Roman" w:cs="Times New Roman"/>
          <w:sz w:val="20"/>
        </w:rPr>
        <w:t>ochrana pred odvetnými opatreniami, akými sú nepriaznivé zaobchádzanie alebo nepriaznivé dôsledky v reakcii na sťažnosť alebo konanie, ktorých cieľom je presadenie dodržania ustanovení o rovnosti;</w:t>
      </w:r>
    </w:p>
    <w:p w:rsidR="00E1270E" w:rsidRPr="000504B6" w:rsidRDefault="008832F4">
      <w:pPr>
        <w:pStyle w:val="Odsekzoznamu"/>
        <w:numPr>
          <w:ilvl w:val="1"/>
          <w:numId w:val="4"/>
        </w:numPr>
        <w:tabs>
          <w:tab w:val="left" w:pos="2422"/>
        </w:tabs>
        <w:spacing w:before="121" w:line="249" w:lineRule="auto"/>
        <w:ind w:right="1287" w:firstLine="568"/>
        <w:jc w:val="both"/>
        <w:rPr>
          <w:rFonts w:ascii="Times New Roman" w:eastAsia="Times New Roman" w:hAnsi="Times New Roman" w:cs="Times New Roman"/>
          <w:sz w:val="20"/>
          <w:szCs w:val="20"/>
        </w:rPr>
      </w:pPr>
      <w:r w:rsidRPr="000504B6">
        <w:rPr>
          <w:rFonts w:ascii="Times New Roman" w:hAnsi="Times New Roman" w:cs="Times New Roman"/>
          <w:sz w:val="20"/>
        </w:rPr>
        <w:t>zákonné právo podať žalobu na súd a uplatňovať svoje nároky prostredníctvom združení, organizácií alebo iných právnych subjektov, ktoré majú oprávnený záujem na vykonávaní práva na rovnosť;</w:t>
      </w:r>
    </w:p>
    <w:p w:rsidR="00E1270E" w:rsidRPr="000504B6" w:rsidRDefault="008832F4">
      <w:pPr>
        <w:pStyle w:val="Odsekzoznamu"/>
        <w:numPr>
          <w:ilvl w:val="1"/>
          <w:numId w:val="4"/>
        </w:numPr>
        <w:tabs>
          <w:tab w:val="left" w:pos="2422"/>
        </w:tabs>
        <w:spacing w:before="121" w:line="249" w:lineRule="auto"/>
        <w:ind w:right="1293" w:firstLine="568"/>
        <w:jc w:val="both"/>
        <w:rPr>
          <w:rFonts w:ascii="Times New Roman" w:eastAsia="Times New Roman" w:hAnsi="Times New Roman" w:cs="Times New Roman"/>
          <w:sz w:val="20"/>
          <w:szCs w:val="20"/>
        </w:rPr>
      </w:pPr>
      <w:r w:rsidRPr="000504B6">
        <w:rPr>
          <w:rFonts w:ascii="Times New Roman" w:hAnsi="Times New Roman" w:cs="Times New Roman"/>
          <w:sz w:val="20"/>
        </w:rPr>
        <w:t>špecifické pravidlá týkajúce sa svedectiev a dôkazov, ktoré majú zaistiť, aby stereotypné postoje k spôsobilosti osôb so zdravotným postihnutím neviedli k tomu, že obete diskriminácie budú mať zábrany pri požadovaní odškodnenia;</w:t>
      </w:r>
    </w:p>
    <w:p w:rsidR="00E1270E" w:rsidRPr="000504B6" w:rsidRDefault="008832F4">
      <w:pPr>
        <w:pStyle w:val="Odsekzoznamu"/>
        <w:numPr>
          <w:ilvl w:val="1"/>
          <w:numId w:val="4"/>
        </w:numPr>
        <w:tabs>
          <w:tab w:val="left" w:pos="2422"/>
        </w:tabs>
        <w:spacing w:before="121" w:line="252" w:lineRule="auto"/>
        <w:ind w:right="1289" w:firstLine="568"/>
        <w:jc w:val="both"/>
        <w:rPr>
          <w:rFonts w:ascii="Times New Roman" w:eastAsia="Times New Roman" w:hAnsi="Times New Roman" w:cs="Times New Roman"/>
          <w:sz w:val="20"/>
          <w:szCs w:val="20"/>
        </w:rPr>
      </w:pPr>
      <w:r w:rsidRPr="000504B6">
        <w:rPr>
          <w:rFonts w:ascii="Times New Roman" w:hAnsi="Times New Roman" w:cs="Times New Roman"/>
          <w:sz w:val="20"/>
        </w:rPr>
        <w:t>účinné, primerané a odrádzajúce sankcie za porušenie práva na rovnosť a adekvátne nápravné opatrenia;</w:t>
      </w:r>
    </w:p>
    <w:p w:rsidR="00E1270E" w:rsidRPr="000504B6" w:rsidRDefault="008832F4">
      <w:pPr>
        <w:pStyle w:val="Odsekzoznamu"/>
        <w:numPr>
          <w:ilvl w:val="1"/>
          <w:numId w:val="4"/>
        </w:numPr>
        <w:tabs>
          <w:tab w:val="left" w:pos="2422"/>
        </w:tabs>
        <w:spacing w:before="119" w:line="249" w:lineRule="auto"/>
        <w:ind w:right="1295" w:firstLine="568"/>
        <w:jc w:val="both"/>
        <w:rPr>
          <w:rFonts w:ascii="Times New Roman" w:eastAsia="Times New Roman" w:hAnsi="Times New Roman" w:cs="Times New Roman"/>
          <w:sz w:val="20"/>
          <w:szCs w:val="20"/>
        </w:rPr>
      </w:pPr>
      <w:r w:rsidRPr="000504B6">
        <w:rPr>
          <w:rFonts w:ascii="Times New Roman" w:hAnsi="Times New Roman" w:cs="Times New Roman"/>
          <w:sz w:val="20"/>
        </w:rPr>
        <w:t>dostatočná a dosiahnuteľná právna pomoc na umožnenie prístupu navrhovateľa k spravodlivosti v súdnych sporoch týkajúcich sa diskriminácie.</w:t>
      </w:r>
    </w:p>
    <w:p w:rsidR="00E1270E" w:rsidRPr="000504B6" w:rsidRDefault="008832F4">
      <w:pPr>
        <w:pStyle w:val="Odsekzoznamu"/>
        <w:numPr>
          <w:ilvl w:val="0"/>
          <w:numId w:val="4"/>
        </w:numPr>
        <w:tabs>
          <w:tab w:val="left" w:pos="1855"/>
        </w:tabs>
        <w:spacing w:before="121" w:line="249" w:lineRule="auto"/>
        <w:ind w:left="1286" w:right="1286" w:firstLine="0"/>
        <w:jc w:val="both"/>
        <w:rPr>
          <w:rFonts w:ascii="Times New Roman" w:eastAsia="Times New Roman" w:hAnsi="Times New Roman" w:cs="Times New Roman"/>
          <w:sz w:val="20"/>
          <w:szCs w:val="20"/>
        </w:rPr>
      </w:pPr>
      <w:r w:rsidRPr="000504B6">
        <w:rPr>
          <w:rFonts w:ascii="Times New Roman" w:hAnsi="Times New Roman" w:cs="Times New Roman"/>
          <w:sz w:val="20"/>
          <w:szCs w:val="20"/>
        </w:rPr>
        <w:t>Zmluvné štáty musia určiť oblasti alebo podskupiny osôb so zdravotným postihnutím (vrátane osôb čeliacich prierezovej diskriminácii), ktoré si vyžadujú špecifické opatrenia na urýchlenie alebo dosiahnutie inkluzívnej rovnosti. V prípade takýchto skupín sú zmluvné štáty povinné prijať špecifické opatrenia.</w:t>
      </w:r>
    </w:p>
    <w:p w:rsidR="00E1270E" w:rsidRPr="000504B6" w:rsidRDefault="008832F4">
      <w:pPr>
        <w:pStyle w:val="Odsekzoznamu"/>
        <w:numPr>
          <w:ilvl w:val="0"/>
          <w:numId w:val="4"/>
        </w:numPr>
        <w:tabs>
          <w:tab w:val="left" w:pos="1855"/>
        </w:tabs>
        <w:spacing w:before="121"/>
        <w:ind w:left="1854" w:hanging="568"/>
        <w:jc w:val="both"/>
        <w:rPr>
          <w:rFonts w:ascii="Times New Roman" w:eastAsia="Times New Roman" w:hAnsi="Times New Roman" w:cs="Times New Roman"/>
          <w:sz w:val="20"/>
          <w:szCs w:val="20"/>
        </w:rPr>
      </w:pPr>
      <w:r w:rsidRPr="000504B6">
        <w:rPr>
          <w:rFonts w:ascii="Times New Roman" w:hAnsi="Times New Roman" w:cs="Times New Roman"/>
          <w:sz w:val="20"/>
        </w:rPr>
        <w:t>Čo sa týka konzultačných povinností zmluvných štátov, v článku 4 ods. 3 a článku 33</w:t>
      </w:r>
    </w:p>
    <w:p w:rsidR="00E1270E" w:rsidRPr="000504B6" w:rsidRDefault="008832F4">
      <w:pPr>
        <w:pStyle w:val="Zkladntext"/>
        <w:spacing w:before="10" w:line="249" w:lineRule="auto"/>
        <w:ind w:right="1287"/>
        <w:jc w:val="both"/>
        <w:rPr>
          <w:rFonts w:cs="Times New Roman"/>
        </w:rPr>
      </w:pPr>
      <w:r w:rsidRPr="000504B6">
        <w:rPr>
          <w:rFonts w:cs="Times New Roman"/>
        </w:rPr>
        <w:t>ods. 3 dohovoru sa zdôrazňuje dôležitá úloha zastupiteľských organizácií osôb so zdravotným postihnutím pri vykonávaní a kontrole dodržiavania dohovoru. Zmluvné štáty sú povinné dôkladne konzultovať a aktívne zapájať také organizácie, ktoré reprezentujú širokú škálu skupín v spoločnosti, vrátane detí, autistických osôb, osôb s genetickým alebo neurologickým ochorením, osôb so zriedkavými a chronickými chorobami, osôb s albinizmom, lesieb, homosexuálov, bisexuálov, transrodových a intersexuálnych osôb, pôvodného obyvateľstva, vidieckych spoločenstiev, starších osôb, žien, obetí ozbrojených konfliktov a osôb s príslušnosťou k etnickej menšine alebo migračným pôvodom. Len v takom prípade možno od zmluvných štátov očakávať, že budú riešiť všetky diskriminačné formy, vrátane viacnásobnej a prierezovej diskriminácie.</w:t>
      </w:r>
    </w:p>
    <w:p w:rsidR="00E1270E" w:rsidRPr="00310E2A" w:rsidRDefault="008832F4" w:rsidP="00310E2A">
      <w:pPr>
        <w:pStyle w:val="Odsekzoznamu"/>
        <w:numPr>
          <w:ilvl w:val="0"/>
          <w:numId w:val="4"/>
        </w:numPr>
        <w:tabs>
          <w:tab w:val="left" w:pos="1855"/>
        </w:tabs>
        <w:spacing w:before="73" w:line="249" w:lineRule="auto"/>
        <w:ind w:left="1286" w:right="1294" w:firstLine="0"/>
        <w:jc w:val="both"/>
        <w:rPr>
          <w:rFonts w:ascii="Times New Roman" w:hAnsi="Times New Roman" w:cs="Times New Roman"/>
        </w:rPr>
      </w:pPr>
      <w:r w:rsidRPr="00310E2A">
        <w:rPr>
          <w:rFonts w:ascii="Times New Roman" w:hAnsi="Times New Roman" w:cs="Times New Roman"/>
          <w:sz w:val="20"/>
        </w:rPr>
        <w:t xml:space="preserve">Podľa článku 5 dohovoru majú zmluvné štáty aj informačné povinnosti, pretože musia zhromažďovať a dôkladne posudzovať údaje a výskumné informácie, ktoré sú vhodné na identifikáciu nerovností, diskriminačných praktík a modelov znevýhodnenia a analýzu účinnosti opatrení presadzujúcich rovnosť. Výbor zaznamenal, že v mnohých zmluvných štátoch chýbajú aktualizované údaje o diskriminácii na základe zdravotného postihnutia, pričom v prípadoch povolených vnútroštátnymi zákonmi a predpisov nedochádza k rozlišovaniu podľa poruchy, rasy, pohlavia, pohlavnej identity, etnického </w:t>
      </w:r>
      <w:r w:rsidR="00310E2A" w:rsidRPr="00310E2A">
        <w:rPr>
          <w:rFonts w:ascii="Times New Roman" w:hAnsi="Times New Roman" w:cs="Times New Roman"/>
          <w:sz w:val="20"/>
        </w:rPr>
        <w:t>p</w:t>
      </w:r>
      <w:r w:rsidRPr="00310E2A">
        <w:rPr>
          <w:rFonts w:ascii="Times New Roman" w:hAnsi="Times New Roman" w:cs="Times New Roman"/>
          <w:sz w:val="20"/>
        </w:rPr>
        <w:t>ôvodu, náboženstva, veku alebo iných vrstiev</w:t>
      </w:r>
      <w:r w:rsidR="00310E2A">
        <w:rPr>
          <w:rFonts w:ascii="Times New Roman" w:hAnsi="Times New Roman" w:cs="Times New Roman"/>
          <w:sz w:val="20"/>
        </w:rPr>
        <w:t xml:space="preserve"> </w:t>
      </w:r>
      <w:r w:rsidRPr="00310E2A">
        <w:rPr>
          <w:rFonts w:ascii="Times New Roman" w:hAnsi="Times New Roman" w:cs="Times New Roman"/>
          <w:sz w:val="20"/>
        </w:rPr>
        <w:t>identity. Takéto údaje a ich analýza majú rozhodujúci význam pre vypracovanie účinných opatrení proti diskriminácii a opatrení na zaistenie rovnosti.</w:t>
      </w:r>
    </w:p>
    <w:p w:rsidR="00E1270E" w:rsidRPr="000504B6" w:rsidRDefault="008832F4">
      <w:pPr>
        <w:pStyle w:val="Odsekzoznamu"/>
        <w:numPr>
          <w:ilvl w:val="0"/>
          <w:numId w:val="4"/>
        </w:numPr>
        <w:tabs>
          <w:tab w:val="left" w:pos="1855"/>
        </w:tabs>
        <w:spacing w:before="121" w:line="249" w:lineRule="auto"/>
        <w:ind w:left="1286" w:right="1286" w:firstLine="0"/>
        <w:jc w:val="both"/>
        <w:rPr>
          <w:rFonts w:ascii="Times New Roman" w:eastAsia="Times New Roman" w:hAnsi="Times New Roman" w:cs="Times New Roman"/>
          <w:sz w:val="20"/>
          <w:szCs w:val="20"/>
        </w:rPr>
      </w:pPr>
      <w:r w:rsidRPr="000504B6">
        <w:rPr>
          <w:rFonts w:ascii="Times New Roman" w:hAnsi="Times New Roman" w:cs="Times New Roman"/>
          <w:sz w:val="20"/>
        </w:rPr>
        <w:t xml:space="preserve">Zmluvné štáty by mali takisto vykonávať primeraný výskum v oblasti diskriminácie </w:t>
      </w:r>
      <w:r w:rsidRPr="000504B6">
        <w:rPr>
          <w:rFonts w:ascii="Times New Roman" w:hAnsi="Times New Roman" w:cs="Times New Roman"/>
          <w:sz w:val="20"/>
        </w:rPr>
        <w:lastRenderedPageBreak/>
        <w:t>na základe zdravotného postihnutia a zabezpečenia práv rovnosti osobám s takýmto postihnutím. V rámci výskumných agiend musia byť osoby so zdravotným postihnutím začlenené do výskumných procesov, a to už od fázy stanovovania agendy, aby sa zabezpečila ich zmysluplná účasť vo výskume. Inkluzívne a participatívne výskumné procesy by mali účastníkom zaistiť bezpečný priestor a zamerať sa na skúsenosti a požiadavky osôb so zdravotným postihnutím.</w:t>
      </w:r>
    </w:p>
    <w:p w:rsidR="00E1270E" w:rsidRPr="000504B6" w:rsidRDefault="00E1270E">
      <w:pPr>
        <w:spacing w:before="1"/>
        <w:rPr>
          <w:rFonts w:ascii="Times New Roman" w:eastAsia="Times New Roman" w:hAnsi="Times New Roman" w:cs="Times New Roman"/>
          <w:sz w:val="29"/>
          <w:szCs w:val="29"/>
        </w:rPr>
      </w:pPr>
    </w:p>
    <w:p w:rsidR="00E1270E" w:rsidRPr="000504B6" w:rsidRDefault="008832F4">
      <w:pPr>
        <w:pStyle w:val="Nadpis1"/>
        <w:numPr>
          <w:ilvl w:val="0"/>
          <w:numId w:val="5"/>
        </w:numPr>
        <w:tabs>
          <w:tab w:val="left" w:pos="1286"/>
        </w:tabs>
        <w:ind w:left="1286" w:right="1311" w:hanging="771"/>
        <w:jc w:val="left"/>
        <w:rPr>
          <w:rFonts w:cs="Times New Roman"/>
          <w:b w:val="0"/>
          <w:bCs w:val="0"/>
        </w:rPr>
      </w:pPr>
      <w:r w:rsidRPr="000504B6">
        <w:rPr>
          <w:rFonts w:cs="Times New Roman"/>
        </w:rPr>
        <w:t>Vzťah k iným špecifickým článkom dohovoru</w:t>
      </w:r>
    </w:p>
    <w:p w:rsidR="00E1270E" w:rsidRPr="000504B6" w:rsidRDefault="00E1270E">
      <w:pPr>
        <w:spacing w:before="9"/>
        <w:rPr>
          <w:rFonts w:ascii="Times New Roman" w:eastAsia="Times New Roman" w:hAnsi="Times New Roman" w:cs="Times New Roman"/>
          <w:b/>
          <w:bCs/>
          <w:sz w:val="30"/>
          <w:szCs w:val="30"/>
        </w:rPr>
      </w:pPr>
    </w:p>
    <w:p w:rsidR="00E1270E" w:rsidRPr="000504B6" w:rsidRDefault="008832F4">
      <w:pPr>
        <w:pStyle w:val="Nadpis2"/>
        <w:numPr>
          <w:ilvl w:val="0"/>
          <w:numId w:val="2"/>
        </w:numPr>
        <w:tabs>
          <w:tab w:val="left" w:pos="1286"/>
        </w:tabs>
        <w:spacing w:before="0"/>
        <w:ind w:right="1311"/>
        <w:jc w:val="left"/>
        <w:rPr>
          <w:rFonts w:cs="Times New Roman"/>
          <w:b w:val="0"/>
          <w:bCs w:val="0"/>
        </w:rPr>
      </w:pPr>
      <w:r w:rsidRPr="000504B6">
        <w:rPr>
          <w:rFonts w:cs="Times New Roman"/>
        </w:rPr>
        <w:t>Článok 6 o ženách so zdravotným postihnutím</w:t>
      </w:r>
    </w:p>
    <w:p w:rsidR="00E1270E" w:rsidRPr="000504B6" w:rsidRDefault="00E1270E">
      <w:pPr>
        <w:spacing w:before="5"/>
        <w:rPr>
          <w:rFonts w:ascii="Times New Roman" w:eastAsia="Times New Roman" w:hAnsi="Times New Roman" w:cs="Times New Roman"/>
          <w:b/>
          <w:bCs/>
          <w:sz w:val="21"/>
          <w:szCs w:val="21"/>
        </w:rPr>
      </w:pPr>
    </w:p>
    <w:p w:rsidR="00E1270E" w:rsidRPr="000504B6" w:rsidRDefault="008832F4">
      <w:pPr>
        <w:pStyle w:val="Odsekzoznamu"/>
        <w:numPr>
          <w:ilvl w:val="0"/>
          <w:numId w:val="4"/>
        </w:numPr>
        <w:tabs>
          <w:tab w:val="left" w:pos="1855"/>
        </w:tabs>
        <w:spacing w:line="249" w:lineRule="auto"/>
        <w:ind w:left="1286" w:right="1284" w:firstLine="0"/>
        <w:jc w:val="both"/>
        <w:rPr>
          <w:rFonts w:ascii="Times New Roman" w:eastAsia="Times New Roman" w:hAnsi="Times New Roman" w:cs="Times New Roman"/>
          <w:sz w:val="20"/>
          <w:szCs w:val="20"/>
        </w:rPr>
      </w:pPr>
      <w:r w:rsidRPr="000504B6">
        <w:rPr>
          <w:rFonts w:ascii="Times New Roman" w:hAnsi="Times New Roman" w:cs="Times New Roman"/>
          <w:sz w:val="20"/>
          <w:szCs w:val="20"/>
        </w:rPr>
        <w:t>Ženy a dievčatá so zdravotným postihnutím patria do takých skupín osôb so zdravotným postihnutím, ktoré sa najčastejšie stretávajú s viacnásobnou a prierezovou diskrimináciou.</w:t>
      </w:r>
      <w:r w:rsidR="00310E2A">
        <w:rPr>
          <w:rStyle w:val="Odkaznapoznmkupodiarou"/>
          <w:rFonts w:ascii="Times New Roman" w:hAnsi="Times New Roman" w:cs="Times New Roman"/>
          <w:sz w:val="20"/>
          <w:szCs w:val="20"/>
        </w:rPr>
        <w:footnoteReference w:id="11"/>
      </w:r>
      <w:r w:rsidRPr="000504B6">
        <w:rPr>
          <w:rFonts w:ascii="Times New Roman" w:hAnsi="Times New Roman" w:cs="Times New Roman"/>
          <w:sz w:val="12"/>
          <w:szCs w:val="12"/>
        </w:rPr>
        <w:t xml:space="preserve"> </w:t>
      </w:r>
      <w:r w:rsidRPr="000504B6">
        <w:rPr>
          <w:rFonts w:ascii="Times New Roman" w:hAnsi="Times New Roman" w:cs="Times New Roman"/>
          <w:sz w:val="20"/>
          <w:szCs w:val="20"/>
        </w:rPr>
        <w:t>Článok 6 je prierezový článok, musí sa preto vziať do úvahy v súvislosti so všetkými ustanoveniami dohovoru.</w:t>
      </w:r>
      <w:r w:rsidR="00310E2A">
        <w:rPr>
          <w:rStyle w:val="Odkaznapoznmkupodiarou"/>
          <w:rFonts w:ascii="Times New Roman" w:hAnsi="Times New Roman" w:cs="Times New Roman"/>
          <w:sz w:val="20"/>
          <w:szCs w:val="20"/>
        </w:rPr>
        <w:footnoteReference w:id="12"/>
      </w:r>
      <w:r w:rsidRPr="000504B6">
        <w:rPr>
          <w:rFonts w:ascii="Times New Roman" w:hAnsi="Times New Roman" w:cs="Times New Roman"/>
          <w:sz w:val="20"/>
          <w:szCs w:val="20"/>
        </w:rPr>
        <w:t xml:space="preserve"> Aj keď článok 6 uvádza pojem „viacnásobná diskriminácia“, k viacnásobnej a prierezovej diskriminácii môže dôjsť na základe kombinácie dvoch alebo viacerých dôvodov. Článok 6 je záväzný článok o rovnosti a nediskriminácii, ktorý zakazuje diskrimináciu žien a dievčat so zdravotným postihnutím a zaväzuje zmluvné štáty k presadzovaniu rovnosti príležitostí aj výsledkov. Okrem toho sa článok 6 (podobne ako článok 7) musí považovať skôr za ilustratívny ako vyčerpávajúci, pričom stanovuje povinnosti týkajúce sa dvoch hlavných foriem diskriminácie – viacnásobnej a prierezovej.</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2"/>
        </w:numPr>
        <w:tabs>
          <w:tab w:val="left" w:pos="1286"/>
        </w:tabs>
        <w:ind w:right="1311" w:hanging="502"/>
        <w:jc w:val="left"/>
        <w:rPr>
          <w:rFonts w:cs="Times New Roman"/>
          <w:b w:val="0"/>
          <w:bCs w:val="0"/>
        </w:rPr>
      </w:pPr>
      <w:r w:rsidRPr="000504B6">
        <w:rPr>
          <w:rFonts w:cs="Times New Roman"/>
        </w:rPr>
        <w:t>Článok 7 o deťoch so zdravotným postihnutím</w:t>
      </w:r>
    </w:p>
    <w:p w:rsidR="00E1270E" w:rsidRPr="000504B6" w:rsidRDefault="00E1270E">
      <w:pPr>
        <w:spacing w:before="2"/>
        <w:rPr>
          <w:rFonts w:ascii="Times New Roman" w:eastAsia="Times New Roman" w:hAnsi="Times New Roman" w:cs="Times New Roman"/>
          <w:b/>
          <w:bCs/>
          <w:sz w:val="21"/>
          <w:szCs w:val="21"/>
        </w:rPr>
      </w:pPr>
    </w:p>
    <w:p w:rsidR="00E1270E" w:rsidRPr="000504B6" w:rsidRDefault="008832F4" w:rsidP="00310E2A">
      <w:pPr>
        <w:pStyle w:val="Odsekzoznamu"/>
        <w:numPr>
          <w:ilvl w:val="0"/>
          <w:numId w:val="4"/>
        </w:numPr>
        <w:tabs>
          <w:tab w:val="left" w:pos="1855"/>
        </w:tabs>
        <w:spacing w:after="120" w:line="250" w:lineRule="auto"/>
        <w:ind w:left="1287" w:right="1287" w:firstLine="0"/>
        <w:jc w:val="both"/>
        <w:rPr>
          <w:rFonts w:ascii="Times New Roman" w:eastAsia="Times New Roman" w:hAnsi="Times New Roman" w:cs="Times New Roman"/>
          <w:sz w:val="20"/>
          <w:szCs w:val="20"/>
        </w:rPr>
      </w:pPr>
      <w:r w:rsidRPr="000504B6">
        <w:rPr>
          <w:rFonts w:ascii="Times New Roman" w:hAnsi="Times New Roman" w:cs="Times New Roman"/>
          <w:sz w:val="20"/>
          <w:szCs w:val="20"/>
        </w:rPr>
        <w:t>Deti so zdravotným postihnutím často zažívajú viacnásobnú a prierezovú diskrimináciu. Zmluvné štáty musia zakázať všetky formy diskriminácie na základe zdravotného postihnutia, ktoré sú príznačné pre deti, zabezpečovať účinné a prístupné nápravné opatrenia a zvyšovať informovanosť verejnosti a odborníkov na účely prevencie a eliminácie diskriminácie. Napríklad v mnohých zmluvných štátoch môžu byť deti legálne napadnuté pod zásterkou „disciplíny“ alebo „bezpečnosti“ (napr. pri obmedzovaní voľnosti pohybu). Toto fyzické trestanie často neprimerane postihuje deti so zdravotným postihnutím. Zmluvné štáty musia zakázať všetky formy telesných trestov a kruté, neľudské a ponižujúce zaobchádzanie s deťmi žijúcimi v akomkoľvek prostredí a zabezpečiť prijatie primeraných opatrení na presadzovanie tohto zákazu.</w:t>
      </w:r>
    </w:p>
    <w:p w:rsidR="00E1270E" w:rsidRPr="00310E2A" w:rsidRDefault="008832F4" w:rsidP="00310E2A">
      <w:pPr>
        <w:pStyle w:val="Odsekzoznamu"/>
        <w:numPr>
          <w:ilvl w:val="0"/>
          <w:numId w:val="4"/>
        </w:numPr>
        <w:tabs>
          <w:tab w:val="left" w:pos="1855"/>
        </w:tabs>
        <w:spacing w:before="10" w:line="250" w:lineRule="auto"/>
        <w:ind w:left="1287" w:right="1287" w:firstLine="0"/>
        <w:jc w:val="both"/>
        <w:rPr>
          <w:rFonts w:ascii="Times New Roman" w:eastAsia="Times New Roman" w:hAnsi="Times New Roman" w:cs="Times New Roman"/>
          <w:sz w:val="16"/>
          <w:szCs w:val="16"/>
        </w:rPr>
      </w:pPr>
      <w:r w:rsidRPr="00310E2A">
        <w:rPr>
          <w:rFonts w:ascii="Times New Roman" w:hAnsi="Times New Roman" w:cs="Times New Roman"/>
          <w:sz w:val="20"/>
          <w:szCs w:val="20"/>
        </w:rPr>
        <w:t>Slovné spojenie „najlepšie záujmy dieťaťa“ uvedené v článku 3 Dohovoru o právach dieťaťa by sa malo vzťahovať na deti so zdravotným postihnutím pri dôkladnom zvážení ich situácie. Zmluvné štáty by mali presadzovať začlenenie problematiky zdravotného postihnutia do všeobecných zákonov a politík v oblasti detstva a dospievania. Pojem najlepšieho záujmu by však nemal slúžiť na to, aby deťom (najmä dievčatám so zdravotným postihnutím) bránil vykonávať svoje právo na telesnú integritu. Používanie tohto pojmu by malo zaistiť stav, v ktorom sa deti so zdravotným postihnutím priebežne informujú a aktívne zúčastňujú konzultácií s tým, že majú možnosť vyjadriť svoj názor pri akomkoľvek rozhodovaní týkajúcom sa ich situácie. Zmluvné štáty by mali predovšetkým riešiť problém násilia páchaného na deťoch so zdravotným postihnutím a ich umiestňovania do ústavnej starostlivosti, kde sa im diskriminačne odopiera právo vyrastať v rodinnom prostredí. Zmluvné štáty by mali implementovať stratégie deinštitucionalizácie, ktoré zaistia deťom život v rámci ich rodín alebo alternatívnej rodinnej starostlivosti v komunitnom prostredí. Okrem toho by mali prijať podporné opatrenia umožňujúce všetkým deťom so zdravotným postihnutím výkon práva na vypočutie vo všetkých konaniach, ktoré sa na ne vzťahujú, a to aj v parlamente, výboroch a politických orgánoch s rozhodovacou právomocou.</w:t>
      </w:r>
    </w:p>
    <w:p w:rsidR="00310E2A" w:rsidRPr="00310E2A" w:rsidRDefault="00310E2A" w:rsidP="00310E2A">
      <w:pPr>
        <w:tabs>
          <w:tab w:val="left" w:pos="1855"/>
        </w:tabs>
        <w:spacing w:before="10" w:line="250" w:lineRule="auto"/>
        <w:ind w:right="1287"/>
        <w:jc w:val="both"/>
        <w:rPr>
          <w:rFonts w:ascii="Times New Roman" w:eastAsia="Times New Roman" w:hAnsi="Times New Roman" w:cs="Times New Roman"/>
          <w:sz w:val="16"/>
          <w:szCs w:val="16"/>
        </w:rPr>
      </w:pPr>
    </w:p>
    <w:p w:rsidR="00E1270E" w:rsidRPr="000504B6" w:rsidRDefault="008832F4">
      <w:pPr>
        <w:pStyle w:val="Nadpis2"/>
        <w:numPr>
          <w:ilvl w:val="0"/>
          <w:numId w:val="2"/>
        </w:numPr>
        <w:tabs>
          <w:tab w:val="left" w:pos="1286"/>
        </w:tabs>
        <w:spacing w:before="69"/>
        <w:ind w:right="1311"/>
        <w:jc w:val="left"/>
        <w:rPr>
          <w:rFonts w:cs="Times New Roman"/>
          <w:b w:val="0"/>
          <w:bCs w:val="0"/>
        </w:rPr>
      </w:pPr>
      <w:r w:rsidRPr="000504B6">
        <w:rPr>
          <w:rFonts w:cs="Times New Roman"/>
        </w:rPr>
        <w:t>Článok 8 o zvyšovaní informovanosti</w:t>
      </w:r>
    </w:p>
    <w:p w:rsidR="00E1270E" w:rsidRPr="000504B6" w:rsidRDefault="00E1270E">
      <w:pPr>
        <w:spacing w:before="5"/>
        <w:rPr>
          <w:rFonts w:ascii="Times New Roman" w:eastAsia="Times New Roman" w:hAnsi="Times New Roman" w:cs="Times New Roman"/>
          <w:b/>
          <w:bCs/>
          <w:sz w:val="21"/>
          <w:szCs w:val="21"/>
        </w:rPr>
      </w:pPr>
    </w:p>
    <w:p w:rsidR="00E1270E" w:rsidRPr="000504B6" w:rsidRDefault="008832F4">
      <w:pPr>
        <w:pStyle w:val="Odsekzoznamu"/>
        <w:numPr>
          <w:ilvl w:val="0"/>
          <w:numId w:val="4"/>
        </w:numPr>
        <w:tabs>
          <w:tab w:val="left" w:pos="1855"/>
        </w:tabs>
        <w:spacing w:line="249" w:lineRule="auto"/>
        <w:ind w:left="1286" w:right="1287" w:firstLine="0"/>
        <w:jc w:val="both"/>
        <w:rPr>
          <w:rFonts w:ascii="Times New Roman" w:eastAsia="Times New Roman" w:hAnsi="Times New Roman" w:cs="Times New Roman"/>
          <w:sz w:val="20"/>
          <w:szCs w:val="20"/>
        </w:rPr>
      </w:pPr>
      <w:r w:rsidRPr="000504B6">
        <w:rPr>
          <w:rFonts w:ascii="Times New Roman" w:hAnsi="Times New Roman" w:cs="Times New Roman"/>
          <w:sz w:val="20"/>
        </w:rPr>
        <w:lastRenderedPageBreak/>
        <w:t>Proti diskriminácii nemožno bojovať bez zvyšovania informovanosti vo všetkých vládnych a spoločenských sektoroch. Každé opatrenie na boj proti diskriminácii a zabezpečenie rovnosti sa musí preto spájať s primeranými opatreniami na zvyšovanie informovanosti a opatreniami na zmenu alebo zrušenie zložených hanlivých stereotypov súvisiacich so zdravotným postihnutím a negatívnych postojov. Navyše násilie, škodlivé postupy a predsudky sa musia riešiť prostredníctvom kampaní na zvyšovanie informovanosti. Zmluvné štáty by mali prijať aj také opatrenia, ktoré budú viesť (okrem iného) médiá k tomu, aby zobrazovali osoby so zdravotným postihnutím spôsobom zodpovedajúcim účelu dohovoru a upravovali škodlivé názory na takéto osoby, ako napr. tie, ktoré ich nereálne vykresľujú ako osoby nebezpečné pre seba samých i iných ľudí, alebo ako osoby trpiace a nesamostatné, odkázané na starostlivosť inej osoby, ktoré pre spoločnosť predstavujú ekonomicky aj sociálne neproduktívnu záťaž.</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2"/>
        </w:numPr>
        <w:tabs>
          <w:tab w:val="left" w:pos="1286"/>
        </w:tabs>
        <w:spacing w:before="121"/>
        <w:ind w:right="1311"/>
        <w:jc w:val="left"/>
        <w:rPr>
          <w:rFonts w:cs="Times New Roman"/>
          <w:b w:val="0"/>
          <w:bCs w:val="0"/>
        </w:rPr>
      </w:pPr>
      <w:r w:rsidRPr="000504B6">
        <w:rPr>
          <w:rFonts w:cs="Times New Roman"/>
        </w:rPr>
        <w:t>Článok 9 o prístupnosti</w:t>
      </w:r>
    </w:p>
    <w:p w:rsidR="00E1270E" w:rsidRPr="000504B6" w:rsidRDefault="00E1270E">
      <w:pPr>
        <w:spacing w:before="2"/>
        <w:rPr>
          <w:rFonts w:ascii="Times New Roman" w:eastAsia="Times New Roman" w:hAnsi="Times New Roman" w:cs="Times New Roman"/>
          <w:b/>
          <w:bCs/>
          <w:sz w:val="21"/>
          <w:szCs w:val="21"/>
        </w:rPr>
      </w:pPr>
    </w:p>
    <w:p w:rsidR="00E1270E" w:rsidRPr="000504B6" w:rsidRDefault="008832F4">
      <w:pPr>
        <w:pStyle w:val="Odsekzoznamu"/>
        <w:numPr>
          <w:ilvl w:val="0"/>
          <w:numId w:val="4"/>
        </w:numPr>
        <w:tabs>
          <w:tab w:val="left" w:pos="1855"/>
        </w:tabs>
        <w:spacing w:line="249" w:lineRule="auto"/>
        <w:ind w:left="1286" w:right="1288" w:firstLine="0"/>
        <w:jc w:val="both"/>
        <w:rPr>
          <w:rFonts w:ascii="Times New Roman" w:eastAsia="Times New Roman" w:hAnsi="Times New Roman" w:cs="Times New Roman"/>
          <w:sz w:val="20"/>
          <w:szCs w:val="20"/>
        </w:rPr>
      </w:pPr>
      <w:r w:rsidRPr="000504B6">
        <w:rPr>
          <w:rFonts w:ascii="Times New Roman" w:hAnsi="Times New Roman" w:cs="Times New Roman"/>
          <w:sz w:val="20"/>
        </w:rPr>
        <w:t>Prístupnosť je nevyhnutným predpokladom a prostriedkom na dosiahnutie faktickej rovnosti všetkých osôb so zdravotným postihnutím. Na zaistenie efektívnej účasti osôb so zdravotným postihnutím v danej komunite sú zmluvné štáty povinné riešiť prístupnosť zastavaného prostredia, verejnej dopravy, ako aj informačných a komunikačných služieb, ktoré musia byť dosiahnuteľné a použiteľné všetkými osobami so zdravotným postihnutím na rovnakom základe s ostatnými. Prístupnosť v kontexte komunikačných služieb zahŕňa poskytovanie sociálnej a komunikačnej podpory.</w:t>
      </w:r>
    </w:p>
    <w:p w:rsidR="00E1270E" w:rsidRPr="000504B6" w:rsidRDefault="008832F4">
      <w:pPr>
        <w:pStyle w:val="Odsekzoznamu"/>
        <w:numPr>
          <w:ilvl w:val="0"/>
          <w:numId w:val="4"/>
        </w:numPr>
        <w:tabs>
          <w:tab w:val="left" w:pos="1855"/>
        </w:tabs>
        <w:spacing w:before="121" w:line="249" w:lineRule="auto"/>
        <w:ind w:left="1286" w:right="1292" w:firstLine="0"/>
        <w:jc w:val="both"/>
        <w:rPr>
          <w:rFonts w:ascii="Times New Roman" w:eastAsia="Times New Roman" w:hAnsi="Times New Roman" w:cs="Times New Roman"/>
          <w:sz w:val="20"/>
          <w:szCs w:val="20"/>
        </w:rPr>
      </w:pPr>
      <w:r w:rsidRPr="000504B6">
        <w:rPr>
          <w:rFonts w:ascii="Times New Roman" w:hAnsi="Times New Roman" w:cs="Times New Roman"/>
          <w:sz w:val="20"/>
        </w:rPr>
        <w:t>Podľa vyššie uvedeného predstavujú prístupnosť a primerané úpravy dva odlišné pojmy zákonov a politík v oblasti rovnosti:</w:t>
      </w:r>
    </w:p>
    <w:p w:rsidR="00E1270E" w:rsidRPr="000504B6" w:rsidRDefault="008832F4">
      <w:pPr>
        <w:pStyle w:val="Odsekzoznamu"/>
        <w:numPr>
          <w:ilvl w:val="1"/>
          <w:numId w:val="4"/>
        </w:numPr>
        <w:tabs>
          <w:tab w:val="left" w:pos="2422"/>
        </w:tabs>
        <w:spacing w:before="121" w:line="249" w:lineRule="auto"/>
        <w:ind w:right="1311" w:firstLine="568"/>
        <w:rPr>
          <w:rFonts w:ascii="Times New Roman" w:eastAsia="Times New Roman" w:hAnsi="Times New Roman" w:cs="Times New Roman"/>
          <w:sz w:val="20"/>
          <w:szCs w:val="20"/>
        </w:rPr>
      </w:pPr>
      <w:r w:rsidRPr="000504B6">
        <w:rPr>
          <w:rFonts w:ascii="Times New Roman" w:hAnsi="Times New Roman" w:cs="Times New Roman"/>
          <w:sz w:val="20"/>
        </w:rPr>
        <w:t>povinnosti zabezpečenia prístupu sa týkajú skupín, pričom sa musia plniť síce postupne, ale v plnom rozsahu;</w:t>
      </w:r>
    </w:p>
    <w:p w:rsidR="00E1270E" w:rsidRPr="000504B6" w:rsidRDefault="008832F4">
      <w:pPr>
        <w:pStyle w:val="Odsekzoznamu"/>
        <w:numPr>
          <w:ilvl w:val="1"/>
          <w:numId w:val="4"/>
        </w:numPr>
        <w:tabs>
          <w:tab w:val="left" w:pos="2422"/>
        </w:tabs>
        <w:spacing w:before="121" w:line="249" w:lineRule="auto"/>
        <w:ind w:right="1311" w:firstLine="568"/>
        <w:rPr>
          <w:rFonts w:ascii="Times New Roman" w:eastAsia="Times New Roman" w:hAnsi="Times New Roman" w:cs="Times New Roman"/>
          <w:sz w:val="20"/>
          <w:szCs w:val="20"/>
        </w:rPr>
      </w:pPr>
      <w:r w:rsidRPr="000504B6">
        <w:rPr>
          <w:rFonts w:ascii="Times New Roman" w:hAnsi="Times New Roman" w:cs="Times New Roman"/>
          <w:sz w:val="20"/>
        </w:rPr>
        <w:t>povinnosti zabezpečenia primeraných úprav sú na druhej strane individualizované (plnia sa podľa individuálnych potrieb), vzťahujú sa bezodkladne na všetky práva, pričom ich môže obmedzovať neúmernosť.</w:t>
      </w:r>
    </w:p>
    <w:p w:rsidR="00E1270E" w:rsidRPr="000504B6" w:rsidRDefault="008832F4">
      <w:pPr>
        <w:pStyle w:val="Odsekzoznamu"/>
        <w:numPr>
          <w:ilvl w:val="0"/>
          <w:numId w:val="4"/>
        </w:numPr>
        <w:tabs>
          <w:tab w:val="left" w:pos="1855"/>
        </w:tabs>
        <w:spacing w:before="121" w:line="249" w:lineRule="auto"/>
        <w:ind w:left="1286" w:right="1288" w:firstLine="0"/>
        <w:jc w:val="both"/>
        <w:rPr>
          <w:rFonts w:ascii="Times New Roman" w:eastAsia="Times New Roman" w:hAnsi="Times New Roman" w:cs="Times New Roman"/>
          <w:sz w:val="20"/>
          <w:szCs w:val="20"/>
        </w:rPr>
      </w:pPr>
      <w:r w:rsidRPr="000504B6">
        <w:rPr>
          <w:rFonts w:ascii="Times New Roman" w:hAnsi="Times New Roman" w:cs="Times New Roman"/>
          <w:sz w:val="20"/>
        </w:rPr>
        <w:t>Keďže postupné zabezpečovanie prístupnosti zastavaného prostredia, verejnej dopravy a informačných a komunikačných služieb môže trvať dlhší čas, primerané úpravy môžu zatiaľ slúžiť na zaistenie individuálneho prístupu, pretože ide o okamžitú povinnosť. Výbor vyzýva zmluvné štáty, aby sa riadili Všeobecným komentárom č. 2 (2014) o prístupnosti.</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2"/>
        </w:numPr>
        <w:tabs>
          <w:tab w:val="left" w:pos="1286"/>
        </w:tabs>
        <w:ind w:right="1311" w:hanging="502"/>
        <w:jc w:val="left"/>
        <w:rPr>
          <w:rFonts w:cs="Times New Roman"/>
          <w:b w:val="0"/>
          <w:bCs w:val="0"/>
        </w:rPr>
      </w:pPr>
      <w:r w:rsidRPr="000504B6">
        <w:rPr>
          <w:rFonts w:cs="Times New Roman"/>
        </w:rPr>
        <w:t>Článok 11 o rizikových situáciách a núdzových humanitárnych situáciách</w:t>
      </w:r>
    </w:p>
    <w:p w:rsidR="00E1270E" w:rsidRPr="000504B6" w:rsidRDefault="00E1270E">
      <w:pPr>
        <w:spacing w:before="5"/>
        <w:rPr>
          <w:rFonts w:ascii="Times New Roman" w:eastAsia="Times New Roman" w:hAnsi="Times New Roman" w:cs="Times New Roman"/>
          <w:b/>
          <w:bCs/>
          <w:sz w:val="21"/>
          <w:szCs w:val="21"/>
        </w:rPr>
      </w:pPr>
    </w:p>
    <w:p w:rsidR="00E1270E" w:rsidRPr="000504B6" w:rsidRDefault="008832F4">
      <w:pPr>
        <w:pStyle w:val="Odsekzoznamu"/>
        <w:numPr>
          <w:ilvl w:val="0"/>
          <w:numId w:val="4"/>
        </w:numPr>
        <w:tabs>
          <w:tab w:val="left" w:pos="1855"/>
        </w:tabs>
        <w:spacing w:line="249" w:lineRule="auto"/>
        <w:ind w:left="1286" w:right="1291" w:firstLine="0"/>
        <w:jc w:val="both"/>
        <w:rPr>
          <w:rFonts w:ascii="Times New Roman" w:eastAsia="Times New Roman" w:hAnsi="Times New Roman" w:cs="Times New Roman"/>
          <w:sz w:val="20"/>
          <w:szCs w:val="20"/>
        </w:rPr>
      </w:pPr>
      <w:r w:rsidRPr="000504B6">
        <w:rPr>
          <w:rFonts w:ascii="Times New Roman" w:hAnsi="Times New Roman" w:cs="Times New Roman"/>
          <w:sz w:val="20"/>
        </w:rPr>
        <w:t>V rizikových situáciách a núdzových humanitárnych situáciách je nevyhnutné zabezpečiť nediskriminačné prostredie vychádzajúce aj zo záväzkov v oblasti medzinárodného humanitárneho práva (vrátane humanitárneho práva týkajúceho sa odzbrojenia) s cieľom riešiť zvýšené riziko, ktoré je v takýchto situáciách neoddeliteľne spojené s diskrimináciou osôb so zdravotným postihnutím.</w:t>
      </w:r>
    </w:p>
    <w:p w:rsidR="00E1270E" w:rsidRPr="000504B6" w:rsidRDefault="008832F4">
      <w:pPr>
        <w:pStyle w:val="Odsekzoznamu"/>
        <w:numPr>
          <w:ilvl w:val="0"/>
          <w:numId w:val="4"/>
        </w:numPr>
        <w:tabs>
          <w:tab w:val="left" w:pos="1855"/>
        </w:tabs>
        <w:spacing w:before="121" w:line="249" w:lineRule="auto"/>
        <w:ind w:left="1286" w:right="1287" w:firstLine="0"/>
        <w:jc w:val="both"/>
        <w:rPr>
          <w:rFonts w:ascii="Times New Roman" w:eastAsia="Times New Roman" w:hAnsi="Times New Roman" w:cs="Times New Roman"/>
          <w:sz w:val="20"/>
          <w:szCs w:val="20"/>
        </w:rPr>
      </w:pPr>
      <w:r w:rsidRPr="000504B6">
        <w:rPr>
          <w:rFonts w:ascii="Times New Roman" w:hAnsi="Times New Roman" w:cs="Times New Roman"/>
          <w:sz w:val="20"/>
        </w:rPr>
        <w:t>Vnútorne vysídlené osoby so zdravotným postihnutím a/alebo utečenci so zdravotným postihnutím často nemajú rovnaký prístup k základným potrebám, akými sú voda, hygiena, potraviny a prístrešie. Napríklad prístupné hygienické zariadenia, ako napr. suché toalety a sprchy často neexistujú alebo nepostačujú.</w:t>
      </w:r>
    </w:p>
    <w:p w:rsidR="00E1270E" w:rsidRPr="000504B6" w:rsidRDefault="008832F4">
      <w:pPr>
        <w:pStyle w:val="Odsekzoznamu"/>
        <w:numPr>
          <w:ilvl w:val="0"/>
          <w:numId w:val="4"/>
        </w:numPr>
        <w:tabs>
          <w:tab w:val="left" w:pos="1855"/>
        </w:tabs>
        <w:spacing w:before="121" w:line="249" w:lineRule="auto"/>
        <w:ind w:left="1286" w:right="1287" w:firstLine="0"/>
        <w:jc w:val="both"/>
        <w:rPr>
          <w:rFonts w:ascii="Times New Roman" w:eastAsia="Times New Roman" w:hAnsi="Times New Roman" w:cs="Times New Roman"/>
          <w:sz w:val="12"/>
          <w:szCs w:val="12"/>
        </w:rPr>
      </w:pPr>
      <w:r w:rsidRPr="000504B6">
        <w:rPr>
          <w:rFonts w:ascii="Times New Roman" w:hAnsi="Times New Roman" w:cs="Times New Roman"/>
          <w:sz w:val="20"/>
        </w:rPr>
        <w:t>V rizikových situáciách a núdzových humanitárnych situáciách sú ženy a dievčatá so zdravotným postihnutím vystavené mimoriadne zvýšenému riziku násilia, vrátane sexuálneho násilia, zneužívania a týrania, pričom majú zníženú možnosť prístupu k odškodneniu a návratu do bežného života alebo prístupu k spravodlivosti.</w:t>
      </w:r>
      <w:r w:rsidR="00310E2A">
        <w:rPr>
          <w:rStyle w:val="Odkaznapoznmkupodiarou"/>
          <w:rFonts w:ascii="Times New Roman" w:hAnsi="Times New Roman" w:cs="Times New Roman"/>
          <w:sz w:val="20"/>
        </w:rPr>
        <w:footnoteReference w:id="13"/>
      </w:r>
    </w:p>
    <w:p w:rsidR="00E1270E" w:rsidRPr="00310E2A" w:rsidRDefault="008832F4" w:rsidP="00310E2A">
      <w:pPr>
        <w:pStyle w:val="Odsekzoznamu"/>
        <w:numPr>
          <w:ilvl w:val="0"/>
          <w:numId w:val="4"/>
        </w:numPr>
        <w:tabs>
          <w:tab w:val="left" w:pos="1855"/>
        </w:tabs>
        <w:spacing w:before="73" w:line="249" w:lineRule="auto"/>
        <w:ind w:left="1286" w:right="1287" w:firstLine="0"/>
        <w:jc w:val="both"/>
        <w:rPr>
          <w:rFonts w:ascii="Times New Roman" w:hAnsi="Times New Roman" w:cs="Times New Roman"/>
          <w:sz w:val="20"/>
        </w:rPr>
      </w:pPr>
      <w:r w:rsidRPr="00310E2A">
        <w:rPr>
          <w:rFonts w:ascii="Times New Roman" w:hAnsi="Times New Roman" w:cs="Times New Roman"/>
          <w:sz w:val="20"/>
        </w:rPr>
        <w:t xml:space="preserve">Zmluvné štáty sú preto povinné zabezpečiť dodržiavanie zásady nediskriminácie v rámci všetkých programov a opatrení. Znamená to začleniť osoby so zdravotným postihnutím do vnútroštátnych núdzových protokolov na rovnakom základe s ostatnými, zaradiť ich do evakuačných scenárov v plnom rozsahu, zabezpečiť prístupné informačné a </w:t>
      </w:r>
      <w:r w:rsidRPr="00310E2A">
        <w:rPr>
          <w:rFonts w:ascii="Times New Roman" w:hAnsi="Times New Roman" w:cs="Times New Roman"/>
          <w:sz w:val="20"/>
        </w:rPr>
        <w:lastRenderedPageBreak/>
        <w:t>komunikačné linky pomoci</w:t>
      </w:r>
      <w:r w:rsidR="00310E2A">
        <w:rPr>
          <w:rFonts w:ascii="Times New Roman" w:hAnsi="Times New Roman" w:cs="Times New Roman"/>
          <w:sz w:val="20"/>
        </w:rPr>
        <w:t xml:space="preserve"> </w:t>
      </w:r>
      <w:r w:rsidRPr="00310E2A">
        <w:rPr>
          <w:rFonts w:ascii="Times New Roman" w:hAnsi="Times New Roman" w:cs="Times New Roman"/>
          <w:sz w:val="20"/>
        </w:rPr>
        <w:t>a horúce linky. Okrem toho sa v tejto súvislosti od zmluvných štátov vyžaduje, aby v humanitárnych núdzových situáciách poskytovali osobám so zdravotným postihnutím humanitárnu pomoc prístupným a nediskriminačným spôsobom a zároveň im v núdzových prístrešiach a utečeneckých táboroch zabezpečili dostupnosť a prístupnosť k zariadeniam na zásobovanie vodou, sanitárnym a hygienickým zariadeniam. Po skončení núdzových situácií je pre rovnosť osôb so zdravotným postihnutím v spoločnosti rozhodujúca prístupná obnova. Na zabezpečenie týchto prvkov musia zmluvné štáty úzko spolupracovať s osobami so zdravotným postihnutím prostredníctvom ich zastupiteľských organizácií pri navrhovaní a implementácii, monitorovaní a hodnotení právnych predpisov a politík súvisiacich so všetkými etapami núdzových situácií.</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2"/>
        </w:numPr>
        <w:tabs>
          <w:tab w:val="left" w:pos="1286"/>
        </w:tabs>
        <w:ind w:right="1311" w:hanging="488"/>
        <w:jc w:val="left"/>
        <w:rPr>
          <w:rFonts w:cs="Times New Roman"/>
          <w:b w:val="0"/>
          <w:bCs w:val="0"/>
        </w:rPr>
      </w:pPr>
      <w:r w:rsidRPr="000504B6">
        <w:rPr>
          <w:rFonts w:cs="Times New Roman"/>
        </w:rPr>
        <w:t>Článok 12 o rovnosti pred zákonom</w:t>
      </w:r>
    </w:p>
    <w:p w:rsidR="00E1270E" w:rsidRPr="000504B6" w:rsidRDefault="00E1270E">
      <w:pPr>
        <w:spacing w:before="5"/>
        <w:rPr>
          <w:rFonts w:ascii="Times New Roman" w:eastAsia="Times New Roman" w:hAnsi="Times New Roman" w:cs="Times New Roman"/>
          <w:b/>
          <w:bCs/>
          <w:sz w:val="21"/>
          <w:szCs w:val="21"/>
        </w:rPr>
      </w:pPr>
    </w:p>
    <w:p w:rsidR="00E1270E" w:rsidRPr="000504B6" w:rsidRDefault="008832F4">
      <w:pPr>
        <w:pStyle w:val="Odsekzoznamu"/>
        <w:numPr>
          <w:ilvl w:val="0"/>
          <w:numId w:val="4"/>
        </w:numPr>
        <w:tabs>
          <w:tab w:val="left" w:pos="1855"/>
        </w:tabs>
        <w:spacing w:line="249" w:lineRule="auto"/>
        <w:ind w:left="1286" w:right="1288" w:firstLine="0"/>
        <w:jc w:val="both"/>
        <w:rPr>
          <w:rFonts w:ascii="Times New Roman" w:eastAsia="Times New Roman" w:hAnsi="Times New Roman" w:cs="Times New Roman"/>
          <w:sz w:val="12"/>
          <w:szCs w:val="12"/>
        </w:rPr>
      </w:pPr>
      <w:r w:rsidRPr="000504B6">
        <w:rPr>
          <w:rFonts w:ascii="Times New Roman" w:hAnsi="Times New Roman" w:cs="Times New Roman"/>
          <w:sz w:val="20"/>
        </w:rPr>
        <w:t>Právo na právnu spôsobilosť má zásadný význam. Znamená to, že je nevyhnutné na uplatňovanie takmer všetkých ostatných práv vyplývajúcich z dohovoru vrátane práva na rovnosť a nediskrimináciu. Články 5 a 12 sú svojou podstatou prepojené, pretože rovnosť pred zákonom musí zahŕňať výkon právnej spôsobilosti všetkými osobami so zdravotným postihnutím na rovnakom základe s ostatnými. K diskriminácii odopretím právnej spôsobilosti môže dôjsť viacerými spôsobmi vrátane tých, ktoré vychádzajú zo statusu, funkcie alebo výsledkov. Odopretie vykonávať rozhodnutia z dôvodu zdravotného postihnutia akýmkoľvek z týchto spôsobov je diskriminačné.</w:t>
      </w:r>
      <w:r w:rsidR="00310E2A">
        <w:rPr>
          <w:rStyle w:val="Odkaznapoznmkupodiarou"/>
          <w:rFonts w:ascii="Times New Roman" w:hAnsi="Times New Roman" w:cs="Times New Roman"/>
          <w:sz w:val="20"/>
        </w:rPr>
        <w:footnoteReference w:id="14"/>
      </w:r>
    </w:p>
    <w:p w:rsidR="00E1270E" w:rsidRPr="000504B6" w:rsidRDefault="008832F4">
      <w:pPr>
        <w:pStyle w:val="Odsekzoznamu"/>
        <w:numPr>
          <w:ilvl w:val="0"/>
          <w:numId w:val="4"/>
        </w:numPr>
        <w:tabs>
          <w:tab w:val="left" w:pos="1855"/>
        </w:tabs>
        <w:spacing w:before="121" w:line="249" w:lineRule="auto"/>
        <w:ind w:left="1286" w:right="1290" w:firstLine="0"/>
        <w:jc w:val="both"/>
        <w:rPr>
          <w:rFonts w:ascii="Times New Roman" w:eastAsia="Times New Roman" w:hAnsi="Times New Roman" w:cs="Times New Roman"/>
          <w:sz w:val="20"/>
          <w:szCs w:val="20"/>
        </w:rPr>
      </w:pPr>
      <w:r w:rsidRPr="000504B6">
        <w:rPr>
          <w:rFonts w:ascii="Times New Roman" w:hAnsi="Times New Roman" w:cs="Times New Roman"/>
          <w:sz w:val="20"/>
        </w:rPr>
        <w:t>Kľúčový rozdiel medzi povinnosťou zabezpečiť primerané úpravy podľa článku 5 dohovoru a podporou, ktorá sa musí poskytnúť osobám so zdravotným postihnutím vykonávajúcim právnu spôsobilosť podľa článku 12 ods. 3 je v tom, že povinnosť podľa článku 12 ods. 3 nie je nijakým spôsobom obmedzená. Skutočnosť, že podpora na účely výkonu právnej spôsobilosti môže predstavovať neúmerné alebo nadmerné zaťaženie, neobmedzuje požiadavku na jej poskytnutie.</w:t>
      </w:r>
    </w:p>
    <w:p w:rsidR="00E1270E" w:rsidRPr="000504B6" w:rsidRDefault="008832F4">
      <w:pPr>
        <w:pStyle w:val="Odsekzoznamu"/>
        <w:numPr>
          <w:ilvl w:val="0"/>
          <w:numId w:val="4"/>
        </w:numPr>
        <w:tabs>
          <w:tab w:val="left" w:pos="1855"/>
        </w:tabs>
        <w:spacing w:before="121" w:line="252" w:lineRule="auto"/>
        <w:ind w:left="1286" w:right="1292" w:firstLine="0"/>
        <w:jc w:val="both"/>
        <w:rPr>
          <w:rFonts w:ascii="Times New Roman" w:eastAsia="Times New Roman" w:hAnsi="Times New Roman" w:cs="Times New Roman"/>
          <w:sz w:val="20"/>
          <w:szCs w:val="20"/>
        </w:rPr>
      </w:pPr>
      <w:r w:rsidRPr="000504B6">
        <w:rPr>
          <w:rFonts w:ascii="Times New Roman" w:hAnsi="Times New Roman" w:cs="Times New Roman"/>
          <w:sz w:val="20"/>
        </w:rPr>
        <w:t>Na zaistenie súladu medzi článkami 5 a 12 dohovoru by zmluvné štáty mali:</w:t>
      </w:r>
    </w:p>
    <w:p w:rsidR="00E1270E" w:rsidRPr="000504B6" w:rsidRDefault="008832F4">
      <w:pPr>
        <w:pStyle w:val="Odsekzoznamu"/>
        <w:numPr>
          <w:ilvl w:val="1"/>
          <w:numId w:val="4"/>
        </w:numPr>
        <w:tabs>
          <w:tab w:val="left" w:pos="2371"/>
        </w:tabs>
        <w:spacing w:before="119" w:line="249" w:lineRule="auto"/>
        <w:ind w:right="1289" w:firstLine="568"/>
        <w:jc w:val="both"/>
        <w:rPr>
          <w:rFonts w:ascii="Times New Roman" w:eastAsia="Times New Roman" w:hAnsi="Times New Roman" w:cs="Times New Roman"/>
          <w:sz w:val="20"/>
          <w:szCs w:val="20"/>
        </w:rPr>
      </w:pPr>
      <w:r w:rsidRPr="000504B6">
        <w:rPr>
          <w:rFonts w:ascii="Times New Roman" w:hAnsi="Times New Roman" w:cs="Times New Roman"/>
          <w:sz w:val="20"/>
        </w:rPr>
        <w:t>reformovať existujúce právne predpisy s cieľom zakázať diskriminačné odopieranie právnej spôsobilosti založené na modeloch, ktoré vychádzajú zo statusu, funkcie alebo výsledkov a v prípade potreby ich nahradiť modelmi podporovaného rozhodovania s prihliadnutím na všeobecnú právnu spôsobilosť dospelých bez akejkoľvek formy diskriminácie;</w:t>
      </w:r>
    </w:p>
    <w:p w:rsidR="00E1270E" w:rsidRPr="000504B6" w:rsidRDefault="008832F4">
      <w:pPr>
        <w:pStyle w:val="Odsekzoznamu"/>
        <w:numPr>
          <w:ilvl w:val="1"/>
          <w:numId w:val="4"/>
        </w:numPr>
        <w:tabs>
          <w:tab w:val="left" w:pos="2422"/>
        </w:tabs>
        <w:spacing w:before="121" w:line="249" w:lineRule="auto"/>
        <w:ind w:right="1287" w:firstLine="568"/>
        <w:jc w:val="both"/>
        <w:rPr>
          <w:rFonts w:ascii="Times New Roman" w:eastAsia="Times New Roman" w:hAnsi="Times New Roman" w:cs="Times New Roman"/>
          <w:sz w:val="20"/>
          <w:szCs w:val="20"/>
        </w:rPr>
      </w:pPr>
      <w:r w:rsidRPr="000504B6">
        <w:rPr>
          <w:rFonts w:ascii="Times New Roman" w:hAnsi="Times New Roman" w:cs="Times New Roman"/>
          <w:sz w:val="20"/>
          <w:szCs w:val="20"/>
        </w:rPr>
        <w:t>poskytnúť zdroje na zavedenie systémov podporovaného rozhodovania, ktoré pomôžu osobám so zdravotným postihnutím zorientovať sa v existujúcich právnych systémoch. Prijatie právnej úpravy týkajúcej sa takýchto služieb a zaistenie zdrojov v tejto súvislosti by mali zodpovedať kľúčovými ustanoveniam odseku 29 Všeobecného komentára č. 1 (2014) o rovnosti pred zákonom. Tieto činnosti si vyžadujú založenie akýchkoľvek systémov pomoci na vykonávanie práv, vôle a preferencií tých osôb, ktoré skôr dostávajú podporu ako benefity v ich najlepšom záujme. Najlepšia interpretácia vôle a preferencií by mala nahradiť pojem „najlepšieho záujmu“ vo všetkých záležitostiach týkajúcich sa dospelých, v ktorých nie je možné určiť vôľu a preferencie danej osoby;</w:t>
      </w:r>
    </w:p>
    <w:p w:rsidR="00E1270E" w:rsidRPr="000504B6" w:rsidRDefault="008832F4">
      <w:pPr>
        <w:pStyle w:val="Odsekzoznamu"/>
        <w:numPr>
          <w:ilvl w:val="1"/>
          <w:numId w:val="4"/>
        </w:numPr>
        <w:tabs>
          <w:tab w:val="left" w:pos="2422"/>
        </w:tabs>
        <w:spacing w:before="121" w:line="249" w:lineRule="auto"/>
        <w:ind w:right="1288" w:firstLine="568"/>
        <w:jc w:val="both"/>
        <w:rPr>
          <w:rFonts w:ascii="Times New Roman" w:eastAsia="Times New Roman" w:hAnsi="Times New Roman" w:cs="Times New Roman"/>
          <w:sz w:val="20"/>
          <w:szCs w:val="20"/>
        </w:rPr>
      </w:pPr>
      <w:r w:rsidRPr="000504B6">
        <w:rPr>
          <w:rFonts w:ascii="Times New Roman" w:hAnsi="Times New Roman" w:cs="Times New Roman"/>
          <w:sz w:val="20"/>
        </w:rPr>
        <w:t>zabezpečiť ochranu proti diskriminácii vytvorením prístupnej, lokálne dostupnej, nízkoprahovej siete vysokokvalitného bezplatného právneho poradenstva alebo právnej pomoci, ktorá musí rešpektovať vôľu a preferencie týchto osôb a brániť ich procesné práva (právo na právnu spôsobilosť) rovnakým spôsobom ako u iných typov právneho zastúpenia. Zmluvné štáty musia dôkladne zabezpečovať, aby nástroje ochrany nezbavovali osoby so zdravotným postihnutím právnej spôsobilosti, príp. aby im iným spôsobom neznemožňovali prístup k spravodlivosti.</w:t>
      </w:r>
    </w:p>
    <w:p w:rsidR="00E1270E" w:rsidRPr="00310E2A" w:rsidRDefault="008832F4" w:rsidP="00310E2A">
      <w:pPr>
        <w:pStyle w:val="Odsekzoznamu"/>
        <w:numPr>
          <w:ilvl w:val="0"/>
          <w:numId w:val="4"/>
        </w:numPr>
        <w:tabs>
          <w:tab w:val="left" w:pos="1855"/>
        </w:tabs>
        <w:spacing w:before="73" w:line="249" w:lineRule="auto"/>
        <w:ind w:left="1286" w:right="1292" w:firstLine="0"/>
        <w:jc w:val="both"/>
        <w:rPr>
          <w:rFonts w:ascii="Times New Roman" w:hAnsi="Times New Roman" w:cs="Times New Roman"/>
        </w:rPr>
      </w:pPr>
      <w:r w:rsidRPr="00310E2A">
        <w:rPr>
          <w:rFonts w:ascii="Times New Roman" w:hAnsi="Times New Roman" w:cs="Times New Roman"/>
          <w:sz w:val="20"/>
        </w:rPr>
        <w:t xml:space="preserve">V tejto súvislosti je potrebné zrealizovať pre príslušné subjekty (napr. zákonodarcovia, poskytovatelia služieb alebo iné zainteresované strany) výchovné a vzdelávacie programy. Zmluvné štáty sú povinné zaistiť rovnaké využívanie všetkých tovarov a služieb ponúkaných v spoločnosti, vrátane tovarov a služieb vymenovaných v článku 12 ods. 5. Tento článok uvádza príklady tovaru, ktorého používanie je osobám so zdravotným postihnutím najčastejšie znemožnené, ako napr. majetok alebo služby spojené s finančnými záležitosťami (hypotéky). V článku 25 písm. e) sa uvádza ďalšia služba, ktorá zvyčajne nie je prístupná osobám so zdravotným postihnutím, a to životné poistenie a </w:t>
      </w:r>
      <w:r w:rsidRPr="00310E2A">
        <w:rPr>
          <w:rFonts w:ascii="Times New Roman" w:hAnsi="Times New Roman" w:cs="Times New Roman"/>
          <w:sz w:val="20"/>
        </w:rPr>
        <w:lastRenderedPageBreak/>
        <w:t>(súkromné) zdravotné poistenie. Zmluvné štáty by mali zaujať aktívny a komplexný postoj, aby zabezpečili rovnaké využívanie tovarov a služieb v súkromnom sektore. Daný prístup si vyžaduje sprísnenie</w:t>
      </w:r>
      <w:r w:rsidR="00310E2A">
        <w:rPr>
          <w:rFonts w:ascii="Times New Roman" w:hAnsi="Times New Roman" w:cs="Times New Roman"/>
          <w:sz w:val="20"/>
        </w:rPr>
        <w:t xml:space="preserve"> </w:t>
      </w:r>
      <w:r w:rsidRPr="00310E2A">
        <w:rPr>
          <w:rFonts w:ascii="Times New Roman" w:hAnsi="Times New Roman" w:cs="Times New Roman"/>
          <w:sz w:val="20"/>
        </w:rPr>
        <w:t>právnych predpisov na boj proti diskriminácii, keďže sa na tento sektor vzťahujú. Pri hľadaní partnerov, ktorí sú ochotní priniesť zmeny, je potrebné spolupracovať s odborovými organizáciami a inými aktívnymi účastníkmi.</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2"/>
        </w:numPr>
        <w:tabs>
          <w:tab w:val="left" w:pos="1286"/>
        </w:tabs>
        <w:ind w:right="1311" w:hanging="528"/>
        <w:jc w:val="left"/>
        <w:rPr>
          <w:rFonts w:cs="Times New Roman"/>
          <w:b w:val="0"/>
          <w:bCs w:val="0"/>
        </w:rPr>
      </w:pPr>
      <w:r w:rsidRPr="000504B6">
        <w:rPr>
          <w:rFonts w:cs="Times New Roman"/>
        </w:rPr>
        <w:t>Článok 13 o prístupe k spravodlivosti</w:t>
      </w:r>
    </w:p>
    <w:p w:rsidR="00E1270E" w:rsidRPr="000504B6" w:rsidRDefault="00E1270E">
      <w:pPr>
        <w:spacing w:before="5"/>
        <w:rPr>
          <w:rFonts w:ascii="Times New Roman" w:eastAsia="Times New Roman" w:hAnsi="Times New Roman" w:cs="Times New Roman"/>
          <w:b/>
          <w:bCs/>
          <w:sz w:val="21"/>
          <w:szCs w:val="21"/>
        </w:rPr>
      </w:pPr>
    </w:p>
    <w:p w:rsidR="00E1270E" w:rsidRPr="000504B6" w:rsidRDefault="008832F4">
      <w:pPr>
        <w:pStyle w:val="Odsekzoznamu"/>
        <w:numPr>
          <w:ilvl w:val="0"/>
          <w:numId w:val="4"/>
        </w:numPr>
        <w:tabs>
          <w:tab w:val="left" w:pos="1855"/>
        </w:tabs>
        <w:spacing w:line="249" w:lineRule="auto"/>
        <w:ind w:left="1286" w:right="1287" w:firstLine="0"/>
        <w:jc w:val="both"/>
        <w:rPr>
          <w:rFonts w:ascii="Times New Roman" w:eastAsia="Times New Roman" w:hAnsi="Times New Roman" w:cs="Times New Roman"/>
          <w:sz w:val="20"/>
          <w:szCs w:val="20"/>
        </w:rPr>
      </w:pPr>
      <w:r w:rsidRPr="000504B6">
        <w:rPr>
          <w:rFonts w:ascii="Times New Roman" w:hAnsi="Times New Roman" w:cs="Times New Roman"/>
          <w:sz w:val="20"/>
        </w:rPr>
        <w:t>Práva a povinnosti týkajúce sa rovnosti a nediskriminácie uvedené v článku 5 osobitne poukazujú na článok 13, ktorý (okrem iného) požaduje zabezpečenie procesných a vekovo primeraných úprav. Rozdiel medzi procesnými a primeranými úpravami je v tom, že procesné úpravy nie sú obmedzené neúmernosťou. Názorným príkladom procesnej úpravy je uznanie rozmanitých spôsobov komunikácie osôb so zdravotným postihnutím na súdoch a tribunáloch. Medzi vekovo primerané úpravy môže patriť šírenie informácií o dostupných mechanizmoch na podanie sťažností a zaistenie prístupu k spravodlivosti pomocou jednoduchého jazyka, ktorý je vekovo prispôsobený.</w:t>
      </w:r>
    </w:p>
    <w:p w:rsidR="00E1270E" w:rsidRPr="000504B6" w:rsidRDefault="00E1270E">
      <w:pPr>
        <w:spacing w:before="11"/>
        <w:rPr>
          <w:rFonts w:ascii="Times New Roman" w:eastAsia="Times New Roman" w:hAnsi="Times New Roman" w:cs="Times New Roman"/>
          <w:sz w:val="20"/>
          <w:szCs w:val="20"/>
        </w:rPr>
      </w:pPr>
    </w:p>
    <w:p w:rsidR="00E1270E" w:rsidRPr="000504B6" w:rsidRDefault="008832F4">
      <w:pPr>
        <w:pStyle w:val="Nadpis3"/>
        <w:numPr>
          <w:ilvl w:val="1"/>
          <w:numId w:val="2"/>
        </w:numPr>
        <w:tabs>
          <w:tab w:val="left" w:pos="1286"/>
        </w:tabs>
        <w:ind w:right="1311"/>
        <w:rPr>
          <w:rFonts w:cs="Times New Roman"/>
          <w:b w:val="0"/>
          <w:bCs w:val="0"/>
        </w:rPr>
      </w:pPr>
      <w:r w:rsidRPr="000504B6">
        <w:rPr>
          <w:rFonts w:cs="Times New Roman"/>
        </w:rPr>
        <w:t>Článok 13 ods. 1</w:t>
      </w:r>
    </w:p>
    <w:p w:rsidR="00E1270E" w:rsidRPr="000504B6" w:rsidRDefault="008832F4">
      <w:pPr>
        <w:pStyle w:val="Odsekzoznamu"/>
        <w:numPr>
          <w:ilvl w:val="2"/>
          <w:numId w:val="2"/>
        </w:numPr>
        <w:tabs>
          <w:tab w:val="left" w:pos="1855"/>
        </w:tabs>
        <w:spacing w:before="130" w:line="249" w:lineRule="auto"/>
        <w:ind w:right="1286" w:firstLine="0"/>
        <w:jc w:val="both"/>
        <w:rPr>
          <w:rFonts w:ascii="Times New Roman" w:eastAsia="Times New Roman" w:hAnsi="Times New Roman" w:cs="Times New Roman"/>
          <w:sz w:val="20"/>
          <w:szCs w:val="20"/>
        </w:rPr>
      </w:pPr>
      <w:r w:rsidRPr="000504B6">
        <w:rPr>
          <w:rFonts w:ascii="Times New Roman" w:hAnsi="Times New Roman" w:cs="Times New Roman"/>
          <w:sz w:val="20"/>
        </w:rPr>
        <w:t>Na zabezpečenie účinného prístupu k spravodlivosti musia procesy umožňovať účasť a byť transparentné. Opatrenia umožňujúce účasť sú nasledovné:</w:t>
      </w:r>
    </w:p>
    <w:p w:rsidR="00E1270E" w:rsidRPr="000504B6" w:rsidRDefault="008832F4">
      <w:pPr>
        <w:pStyle w:val="Odsekzoznamu"/>
        <w:numPr>
          <w:ilvl w:val="3"/>
          <w:numId w:val="2"/>
        </w:numPr>
        <w:tabs>
          <w:tab w:val="left" w:pos="2422"/>
        </w:tabs>
        <w:spacing w:before="121"/>
        <w:ind w:firstLine="568"/>
        <w:rPr>
          <w:rFonts w:ascii="Times New Roman" w:eastAsia="Times New Roman" w:hAnsi="Times New Roman" w:cs="Times New Roman"/>
          <w:sz w:val="20"/>
          <w:szCs w:val="20"/>
        </w:rPr>
      </w:pPr>
      <w:r w:rsidRPr="000504B6">
        <w:rPr>
          <w:rFonts w:ascii="Times New Roman" w:hAnsi="Times New Roman" w:cs="Times New Roman"/>
          <w:sz w:val="20"/>
        </w:rPr>
        <w:t>poskytovanie informácií zrozumiteľným a prístupným spôsobom;</w:t>
      </w:r>
    </w:p>
    <w:p w:rsidR="00E1270E" w:rsidRPr="000504B6" w:rsidRDefault="008832F4">
      <w:pPr>
        <w:pStyle w:val="Odsekzoznamu"/>
        <w:numPr>
          <w:ilvl w:val="3"/>
          <w:numId w:val="2"/>
        </w:numPr>
        <w:tabs>
          <w:tab w:val="left" w:pos="2422"/>
        </w:tabs>
        <w:spacing w:before="130"/>
        <w:ind w:left="2421" w:right="1311"/>
        <w:rPr>
          <w:rFonts w:ascii="Times New Roman" w:eastAsia="Times New Roman" w:hAnsi="Times New Roman" w:cs="Times New Roman"/>
          <w:sz w:val="20"/>
          <w:szCs w:val="20"/>
        </w:rPr>
      </w:pPr>
      <w:r w:rsidRPr="000504B6">
        <w:rPr>
          <w:rFonts w:ascii="Times New Roman" w:hAnsi="Times New Roman" w:cs="Times New Roman"/>
          <w:sz w:val="20"/>
        </w:rPr>
        <w:t>uznanie rôznych foriem komunikácie a vyhovenie ich požiadavkám;</w:t>
      </w:r>
    </w:p>
    <w:p w:rsidR="00E1270E" w:rsidRPr="000504B6" w:rsidRDefault="008832F4">
      <w:pPr>
        <w:pStyle w:val="Odsekzoznamu"/>
        <w:numPr>
          <w:ilvl w:val="3"/>
          <w:numId w:val="2"/>
        </w:numPr>
        <w:tabs>
          <w:tab w:val="left" w:pos="2422"/>
        </w:tabs>
        <w:spacing w:before="130"/>
        <w:ind w:left="2421" w:right="1311"/>
        <w:rPr>
          <w:rFonts w:ascii="Times New Roman" w:eastAsia="Times New Roman" w:hAnsi="Times New Roman" w:cs="Times New Roman"/>
          <w:sz w:val="20"/>
          <w:szCs w:val="20"/>
        </w:rPr>
      </w:pPr>
      <w:r w:rsidRPr="000504B6">
        <w:rPr>
          <w:rFonts w:ascii="Times New Roman" w:hAnsi="Times New Roman" w:cs="Times New Roman"/>
          <w:sz w:val="20"/>
        </w:rPr>
        <w:t>fyzická dostupnosť vo všetkých fázach procesu;</w:t>
      </w:r>
    </w:p>
    <w:p w:rsidR="00E1270E" w:rsidRPr="000504B6" w:rsidRDefault="008832F4">
      <w:pPr>
        <w:pStyle w:val="Odsekzoznamu"/>
        <w:numPr>
          <w:ilvl w:val="3"/>
          <w:numId w:val="2"/>
        </w:numPr>
        <w:tabs>
          <w:tab w:val="left" w:pos="2422"/>
        </w:tabs>
        <w:spacing w:before="130" w:line="249" w:lineRule="auto"/>
        <w:ind w:right="1293" w:firstLine="568"/>
        <w:jc w:val="both"/>
        <w:rPr>
          <w:rFonts w:ascii="Times New Roman" w:eastAsia="Times New Roman" w:hAnsi="Times New Roman" w:cs="Times New Roman"/>
          <w:sz w:val="20"/>
          <w:szCs w:val="20"/>
        </w:rPr>
      </w:pPr>
      <w:r w:rsidRPr="000504B6">
        <w:rPr>
          <w:rFonts w:ascii="Times New Roman" w:hAnsi="Times New Roman" w:cs="Times New Roman"/>
          <w:sz w:val="20"/>
        </w:rPr>
        <w:t>finančná pomoc pri poskytovaní právnej pomoci podľa potreby a v závislosti od preskúmania majetkových pomerov (v orig. „test of means“) a preskúmania podstaty (v orig. „test of merits“).</w:t>
      </w:r>
    </w:p>
    <w:p w:rsidR="00E1270E" w:rsidRPr="000504B6" w:rsidRDefault="008832F4">
      <w:pPr>
        <w:pStyle w:val="Odsekzoznamu"/>
        <w:numPr>
          <w:ilvl w:val="2"/>
          <w:numId w:val="2"/>
        </w:numPr>
        <w:tabs>
          <w:tab w:val="left" w:pos="1855"/>
        </w:tabs>
        <w:spacing w:before="121" w:line="249" w:lineRule="auto"/>
        <w:ind w:right="1290" w:firstLine="0"/>
        <w:jc w:val="both"/>
        <w:rPr>
          <w:rFonts w:ascii="Times New Roman" w:eastAsia="Times New Roman" w:hAnsi="Times New Roman" w:cs="Times New Roman"/>
          <w:sz w:val="20"/>
          <w:szCs w:val="20"/>
        </w:rPr>
      </w:pPr>
      <w:r w:rsidRPr="000504B6">
        <w:rPr>
          <w:rFonts w:ascii="Times New Roman" w:hAnsi="Times New Roman" w:cs="Times New Roman"/>
          <w:sz w:val="20"/>
        </w:rPr>
        <w:t>Vhodné opatrenia na ochranu osôb, ktoré sa nedokážu sami brániť pred diskrimináciou napriek získanej podpore alebo tých osôb, ktorých možnosti výrazne obmedzuje strach z negatívnych dôsledkov takýchto pokusov, predstavujú opatrenia vo verejnom záujme (</w:t>
      </w:r>
      <w:r w:rsidRPr="000504B6">
        <w:rPr>
          <w:rFonts w:ascii="Times New Roman" w:hAnsi="Times New Roman" w:cs="Times New Roman"/>
          <w:i/>
          <w:sz w:val="20"/>
        </w:rPr>
        <w:t>actio popularis</w:t>
      </w:r>
      <w:r w:rsidRPr="000504B6">
        <w:rPr>
          <w:rFonts w:ascii="Times New Roman" w:hAnsi="Times New Roman" w:cs="Times New Roman"/>
          <w:sz w:val="20"/>
        </w:rPr>
        <w:t>).</w:t>
      </w:r>
    </w:p>
    <w:p w:rsidR="00E1270E" w:rsidRPr="000504B6" w:rsidRDefault="008832F4">
      <w:pPr>
        <w:pStyle w:val="Odsekzoznamu"/>
        <w:numPr>
          <w:ilvl w:val="2"/>
          <w:numId w:val="2"/>
        </w:numPr>
        <w:tabs>
          <w:tab w:val="left" w:pos="1855"/>
        </w:tabs>
        <w:spacing w:before="121" w:line="249" w:lineRule="auto"/>
        <w:ind w:right="1284" w:firstLine="0"/>
        <w:jc w:val="both"/>
        <w:rPr>
          <w:rFonts w:ascii="Times New Roman" w:eastAsia="Times New Roman" w:hAnsi="Times New Roman" w:cs="Times New Roman"/>
          <w:sz w:val="20"/>
          <w:szCs w:val="20"/>
        </w:rPr>
      </w:pPr>
      <w:r w:rsidRPr="000504B6">
        <w:rPr>
          <w:rFonts w:ascii="Times New Roman" w:hAnsi="Times New Roman" w:cs="Times New Roman"/>
          <w:sz w:val="20"/>
        </w:rPr>
        <w:t>Na dosiahnutie transparentnosti je okrem toho nevyhnutné, aby akékoľvek opatrenie zmluvného štátu zaisťovalo prístupnosť a dostupnosť všetkých dôležitých informácií, ako aj primeranú evidenciu a zaznamenávanie všetkých relevantných nárokov, prípadov a súdnych príkazov.</w:t>
      </w:r>
    </w:p>
    <w:p w:rsidR="00E1270E" w:rsidRPr="000504B6" w:rsidRDefault="00E1270E">
      <w:pPr>
        <w:spacing w:before="11"/>
        <w:rPr>
          <w:rFonts w:ascii="Times New Roman" w:eastAsia="Times New Roman" w:hAnsi="Times New Roman" w:cs="Times New Roman"/>
          <w:sz w:val="20"/>
          <w:szCs w:val="20"/>
        </w:rPr>
      </w:pPr>
    </w:p>
    <w:p w:rsidR="00E1270E" w:rsidRPr="000504B6" w:rsidRDefault="008832F4">
      <w:pPr>
        <w:pStyle w:val="Nadpis3"/>
        <w:numPr>
          <w:ilvl w:val="1"/>
          <w:numId w:val="2"/>
        </w:numPr>
        <w:tabs>
          <w:tab w:val="left" w:pos="1286"/>
        </w:tabs>
        <w:ind w:right="1311"/>
        <w:rPr>
          <w:rFonts w:cs="Times New Roman"/>
          <w:b w:val="0"/>
          <w:bCs w:val="0"/>
        </w:rPr>
      </w:pPr>
      <w:r w:rsidRPr="000504B6">
        <w:rPr>
          <w:rFonts w:cs="Times New Roman"/>
        </w:rPr>
        <w:t>Článok 13 ods. 2</w:t>
      </w:r>
    </w:p>
    <w:p w:rsidR="00E1270E" w:rsidRPr="000504B6" w:rsidRDefault="008832F4">
      <w:pPr>
        <w:pStyle w:val="Odsekzoznamu"/>
        <w:numPr>
          <w:ilvl w:val="0"/>
          <w:numId w:val="1"/>
        </w:numPr>
        <w:tabs>
          <w:tab w:val="left" w:pos="1805"/>
        </w:tabs>
        <w:spacing w:before="130" w:line="249" w:lineRule="auto"/>
        <w:ind w:right="1290" w:firstLine="0"/>
        <w:jc w:val="both"/>
        <w:rPr>
          <w:rFonts w:ascii="Times New Roman" w:eastAsia="Times New Roman" w:hAnsi="Times New Roman" w:cs="Times New Roman"/>
          <w:sz w:val="20"/>
          <w:szCs w:val="20"/>
        </w:rPr>
      </w:pPr>
      <w:r w:rsidRPr="000504B6">
        <w:rPr>
          <w:rFonts w:ascii="Times New Roman" w:hAnsi="Times New Roman" w:cs="Times New Roman"/>
          <w:sz w:val="20"/>
        </w:rPr>
        <w:t>V záujme podpory primeraného rešpektovania a plnenia práv a povinností je potrebné vyškoliť zamestnancov bezpečnostných zložiek, zvýšiť informovanosť držiteľov práv a posilniť spôsobilosť nositeľov povinností. Náležité školenie by malo obsahovať:</w:t>
      </w:r>
    </w:p>
    <w:p w:rsidR="00E1270E" w:rsidRPr="000504B6" w:rsidRDefault="008832F4">
      <w:pPr>
        <w:pStyle w:val="Odsekzoznamu"/>
        <w:numPr>
          <w:ilvl w:val="1"/>
          <w:numId w:val="1"/>
        </w:numPr>
        <w:tabs>
          <w:tab w:val="left" w:pos="2422"/>
        </w:tabs>
        <w:spacing w:before="121" w:line="249" w:lineRule="auto"/>
        <w:ind w:right="1285" w:firstLine="568"/>
        <w:jc w:val="both"/>
        <w:rPr>
          <w:rFonts w:ascii="Times New Roman" w:eastAsia="Times New Roman" w:hAnsi="Times New Roman" w:cs="Times New Roman"/>
          <w:sz w:val="20"/>
          <w:szCs w:val="20"/>
        </w:rPr>
      </w:pPr>
      <w:r w:rsidRPr="000504B6">
        <w:rPr>
          <w:rFonts w:ascii="Times New Roman" w:hAnsi="Times New Roman" w:cs="Times New Roman"/>
          <w:sz w:val="20"/>
        </w:rPr>
        <w:t>opis zložitostí prierezovosti a skutočnosť, že osoby by sa nemali identifikovať len na základe poruchy; zvyšovanie informovanosti o otázkach prierezovosti by malo priamo súvisieť s konkrétnymi formami diskriminácie a útlaku;</w:t>
      </w:r>
    </w:p>
    <w:p w:rsidR="00E1270E" w:rsidRPr="000504B6" w:rsidRDefault="008832F4">
      <w:pPr>
        <w:pStyle w:val="Odsekzoznamu"/>
        <w:numPr>
          <w:ilvl w:val="1"/>
          <w:numId w:val="1"/>
        </w:numPr>
        <w:tabs>
          <w:tab w:val="left" w:pos="2422"/>
        </w:tabs>
        <w:spacing w:before="121" w:line="249" w:lineRule="auto"/>
        <w:ind w:right="1293" w:firstLine="568"/>
        <w:jc w:val="both"/>
        <w:rPr>
          <w:rFonts w:ascii="Times New Roman" w:eastAsia="Times New Roman" w:hAnsi="Times New Roman" w:cs="Times New Roman"/>
          <w:sz w:val="20"/>
          <w:szCs w:val="20"/>
        </w:rPr>
      </w:pPr>
      <w:r w:rsidRPr="000504B6">
        <w:rPr>
          <w:rFonts w:ascii="Times New Roman" w:hAnsi="Times New Roman" w:cs="Times New Roman"/>
          <w:sz w:val="20"/>
        </w:rPr>
        <w:t>definovanie rozmanitosti medzi osobami so zdravotným postihnutím a ich individuálne požiadavky na účely získania účinného prístupu ku všetkým aspektom súdneho systému na rovnakom základe s ostatnými;</w:t>
      </w:r>
    </w:p>
    <w:p w:rsidR="00E1270E" w:rsidRPr="000504B6" w:rsidRDefault="008832F4">
      <w:pPr>
        <w:pStyle w:val="Odsekzoznamu"/>
        <w:numPr>
          <w:ilvl w:val="1"/>
          <w:numId w:val="1"/>
        </w:numPr>
        <w:tabs>
          <w:tab w:val="left" w:pos="2422"/>
        </w:tabs>
        <w:spacing w:before="121" w:line="249" w:lineRule="auto"/>
        <w:ind w:right="1291" w:firstLine="568"/>
        <w:jc w:val="both"/>
        <w:rPr>
          <w:rFonts w:ascii="Times New Roman" w:eastAsia="Times New Roman" w:hAnsi="Times New Roman" w:cs="Times New Roman"/>
          <w:sz w:val="20"/>
          <w:szCs w:val="20"/>
        </w:rPr>
      </w:pPr>
      <w:r w:rsidRPr="000504B6">
        <w:rPr>
          <w:rFonts w:ascii="Times New Roman" w:hAnsi="Times New Roman" w:cs="Times New Roman"/>
          <w:sz w:val="20"/>
        </w:rPr>
        <w:t>individuálna samostatnosť všetkých osôb so zdravotným postihnutím a význam ich právnej spôsobilosti;</w:t>
      </w:r>
    </w:p>
    <w:p w:rsidR="00E1270E" w:rsidRPr="000504B6" w:rsidRDefault="008832F4">
      <w:pPr>
        <w:pStyle w:val="Odsekzoznamu"/>
        <w:numPr>
          <w:ilvl w:val="1"/>
          <w:numId w:val="1"/>
        </w:numPr>
        <w:tabs>
          <w:tab w:val="left" w:pos="2422"/>
        </w:tabs>
        <w:spacing w:before="121" w:line="249" w:lineRule="auto"/>
        <w:ind w:right="1289" w:firstLine="568"/>
        <w:jc w:val="both"/>
        <w:rPr>
          <w:rFonts w:ascii="Times New Roman" w:eastAsia="Times New Roman" w:hAnsi="Times New Roman" w:cs="Times New Roman"/>
          <w:sz w:val="20"/>
          <w:szCs w:val="20"/>
        </w:rPr>
      </w:pPr>
      <w:r w:rsidRPr="000504B6">
        <w:rPr>
          <w:rFonts w:ascii="Times New Roman" w:hAnsi="Times New Roman" w:cs="Times New Roman"/>
          <w:sz w:val="20"/>
        </w:rPr>
        <w:t>kľúčový význam efektívnej a zmysluplnej komunikácie smerujúcej k úspešnej inklúzii;</w:t>
      </w:r>
    </w:p>
    <w:p w:rsidR="00E1270E" w:rsidRPr="000504B6" w:rsidRDefault="008832F4">
      <w:pPr>
        <w:pStyle w:val="Odsekzoznamu"/>
        <w:numPr>
          <w:ilvl w:val="1"/>
          <w:numId w:val="1"/>
        </w:numPr>
        <w:tabs>
          <w:tab w:val="left" w:pos="2422"/>
        </w:tabs>
        <w:spacing w:before="121" w:line="249" w:lineRule="auto"/>
        <w:ind w:right="1289" w:firstLine="568"/>
        <w:jc w:val="both"/>
        <w:rPr>
          <w:rFonts w:ascii="Times New Roman" w:eastAsia="Times New Roman" w:hAnsi="Times New Roman" w:cs="Times New Roman"/>
          <w:sz w:val="20"/>
          <w:szCs w:val="20"/>
        </w:rPr>
      </w:pPr>
      <w:r w:rsidRPr="000504B6">
        <w:rPr>
          <w:rFonts w:ascii="Times New Roman" w:hAnsi="Times New Roman" w:cs="Times New Roman"/>
          <w:sz w:val="20"/>
        </w:rPr>
        <w:t>opatrenia prijaté na zabezpečenie efektívneho vzdelávania zamestnancov vrátane právnikov, sudcov s nižšou i vyššou právomocou, väzenského personálu, tlmočníkov posunkovej reči, členov policajného zboru a pracovníkov nápravnovýchovných zariadení o právach osôb so zdravotným postihnutím.</w:t>
      </w:r>
    </w:p>
    <w:p w:rsidR="00E1270E" w:rsidRPr="000504B6" w:rsidRDefault="00E1270E">
      <w:pPr>
        <w:spacing w:line="249" w:lineRule="auto"/>
        <w:jc w:val="both"/>
        <w:rPr>
          <w:rFonts w:ascii="Times New Roman" w:eastAsia="Times New Roman" w:hAnsi="Times New Roman" w:cs="Times New Roman"/>
          <w:sz w:val="20"/>
          <w:szCs w:val="20"/>
        </w:rPr>
        <w:sectPr w:rsidR="00E1270E" w:rsidRPr="000504B6">
          <w:headerReference w:type="even" r:id="rId11"/>
          <w:headerReference w:type="default" r:id="rId12"/>
          <w:footerReference w:type="even" r:id="rId13"/>
          <w:footerReference w:type="default" r:id="rId14"/>
          <w:pgSz w:w="11910" w:h="16850"/>
          <w:pgMar w:top="1140" w:right="980" w:bottom="740" w:left="980" w:header="875" w:footer="550" w:gutter="0"/>
          <w:cols w:space="708"/>
        </w:sectPr>
      </w:pPr>
    </w:p>
    <w:p w:rsidR="00E1270E" w:rsidRPr="000504B6" w:rsidRDefault="00E1270E">
      <w:pPr>
        <w:spacing w:before="10"/>
        <w:rPr>
          <w:rFonts w:ascii="Times New Roman" w:eastAsia="Times New Roman" w:hAnsi="Times New Roman" w:cs="Times New Roman"/>
          <w:sz w:val="16"/>
          <w:szCs w:val="16"/>
        </w:rPr>
      </w:pPr>
    </w:p>
    <w:p w:rsidR="00E1270E" w:rsidRPr="000504B6" w:rsidRDefault="008832F4">
      <w:pPr>
        <w:pStyle w:val="Nadpis2"/>
        <w:numPr>
          <w:ilvl w:val="0"/>
          <w:numId w:val="2"/>
        </w:numPr>
        <w:tabs>
          <w:tab w:val="left" w:pos="1286"/>
        </w:tabs>
        <w:spacing w:before="73" w:line="235" w:lineRule="auto"/>
        <w:ind w:right="1376" w:hanging="528"/>
        <w:jc w:val="left"/>
        <w:rPr>
          <w:rFonts w:cs="Times New Roman"/>
          <w:b w:val="0"/>
          <w:bCs w:val="0"/>
        </w:rPr>
      </w:pPr>
      <w:r w:rsidRPr="000504B6">
        <w:rPr>
          <w:rFonts w:cs="Times New Roman"/>
        </w:rPr>
        <w:t>Článok 14 o slobode a osobnej bezpečnosti, článok 15 o ochrane pred mučením alebo krutým, neľudským či ponižujúcim zaobchádzaním alebo trestaním, článok 16 o ochrane pred vykorisťovaním, násilím a zneužívaním a článok 17 o ochrane integrity osobnosti</w:t>
      </w:r>
    </w:p>
    <w:p w:rsidR="00E1270E" w:rsidRPr="000504B6" w:rsidRDefault="00E1270E">
      <w:pPr>
        <w:spacing w:before="3"/>
        <w:rPr>
          <w:rFonts w:ascii="Times New Roman" w:eastAsia="Times New Roman" w:hAnsi="Times New Roman" w:cs="Times New Roman"/>
          <w:b/>
          <w:bCs/>
          <w:sz w:val="21"/>
          <w:szCs w:val="21"/>
        </w:rPr>
      </w:pPr>
    </w:p>
    <w:p w:rsidR="00E1270E" w:rsidRPr="000504B6" w:rsidRDefault="008832F4">
      <w:pPr>
        <w:pStyle w:val="Odsekzoznamu"/>
        <w:numPr>
          <w:ilvl w:val="0"/>
          <w:numId w:val="1"/>
        </w:numPr>
        <w:tabs>
          <w:tab w:val="left" w:pos="1855"/>
        </w:tabs>
        <w:spacing w:line="249" w:lineRule="auto"/>
        <w:ind w:right="1286" w:firstLine="0"/>
        <w:jc w:val="both"/>
        <w:rPr>
          <w:rFonts w:ascii="Times New Roman" w:eastAsia="Times New Roman" w:hAnsi="Times New Roman" w:cs="Times New Roman"/>
          <w:sz w:val="20"/>
          <w:szCs w:val="20"/>
        </w:rPr>
      </w:pPr>
      <w:r w:rsidRPr="000504B6">
        <w:rPr>
          <w:rFonts w:ascii="Times New Roman" w:hAnsi="Times New Roman" w:cs="Times New Roman"/>
          <w:sz w:val="20"/>
        </w:rPr>
        <w:t>Osoby so zdravotným postihnutím môžu byť neúmerne postihnuté násilím, zneužívaním a iným krutým a ponižujúcim trestaním, ktoré môžu mať formu obmedzenia alebo segregácie, ako aj násilného útoku. Výbor je obzvlášť znepokojený nasledujúcimi činmi páchanými proti osobám so zdravotným postihnutím vrátane detí z dôvodu ich zdravotnej poruchy, ktoré sú podľa definície diskriminačné: oddelenie detí so zdravotným postihnutím od ich rodín a nútené umiestňovanie do ústavnej starostlivosti; zbavenie slobody; mučenie alebo kruté, neľudské či ponižujúce zaobchádzanie alebo trestanie; násilie a nútená liečba osôb so zdravotným postihnutím v centrách duševného zdravia aj mimo nich. Zmluvné štáty sú povinné prijať všetky vhodné opatrenia na ochranu osôb so zdravotným postihnutím pred všetkými formami vykorisťovania, násilia a zneužívania, ako aj ich prevenciu. Nútené nápravné liečby osôb so zdravotným postihnutím by sa mali zakázať.</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2"/>
        </w:numPr>
        <w:tabs>
          <w:tab w:val="left" w:pos="1286"/>
        </w:tabs>
        <w:ind w:right="1233" w:hanging="435"/>
        <w:jc w:val="left"/>
        <w:rPr>
          <w:rFonts w:cs="Times New Roman"/>
          <w:b w:val="0"/>
          <w:bCs w:val="0"/>
        </w:rPr>
      </w:pPr>
      <w:r w:rsidRPr="000504B6">
        <w:rPr>
          <w:rFonts w:cs="Times New Roman"/>
        </w:rPr>
        <w:t>Článok 19 o nezávislom spôsobe života a začlenení do spoločnosti</w:t>
      </w:r>
    </w:p>
    <w:p w:rsidR="00E1270E" w:rsidRPr="000504B6" w:rsidRDefault="00E1270E">
      <w:pPr>
        <w:spacing w:before="5"/>
        <w:rPr>
          <w:rFonts w:ascii="Times New Roman" w:eastAsia="Times New Roman" w:hAnsi="Times New Roman" w:cs="Times New Roman"/>
          <w:b/>
          <w:bCs/>
          <w:sz w:val="21"/>
          <w:szCs w:val="21"/>
        </w:rPr>
      </w:pPr>
    </w:p>
    <w:p w:rsidR="00E1270E" w:rsidRPr="000504B6" w:rsidRDefault="008832F4">
      <w:pPr>
        <w:pStyle w:val="Odsekzoznamu"/>
        <w:numPr>
          <w:ilvl w:val="0"/>
          <w:numId w:val="1"/>
        </w:numPr>
        <w:tabs>
          <w:tab w:val="left" w:pos="1855"/>
        </w:tabs>
        <w:spacing w:line="249" w:lineRule="auto"/>
        <w:ind w:right="1288" w:firstLine="0"/>
        <w:jc w:val="both"/>
        <w:rPr>
          <w:rFonts w:ascii="Times New Roman" w:eastAsia="Times New Roman" w:hAnsi="Times New Roman" w:cs="Times New Roman"/>
          <w:sz w:val="20"/>
          <w:szCs w:val="20"/>
        </w:rPr>
      </w:pPr>
      <w:r w:rsidRPr="000504B6">
        <w:rPr>
          <w:rFonts w:ascii="Times New Roman" w:hAnsi="Times New Roman" w:cs="Times New Roman"/>
          <w:sz w:val="20"/>
          <w:szCs w:val="20"/>
        </w:rPr>
        <w:t>Článok 19 dohovoru opätovne zdôrazňuje nediskrimináciu a uznanie rovnakého práva osôb so zdravotným postihnutím na nezávislý spôsob života a ich úplné začlenenie do spoločnosti. V záujme výkonu práva na nezávislý spôsob života a začlenenie do spoločnosti musia zmluvné štáty prijať účinné a primerané opatrenia, aby umožnili neobmedzené používanie tohto práva osobami so zdravotným postihnutím a ich plné začlenenie a zapojenie do spoločnosti. Takéto opatrenia si vyžadujú implementáciu stratégií deinštitucionalizácie a pridelenie zdrojov v súlade so Všeobecným komenárom výboru č. 5 (2017) o nezávislom spôsobe života a začlenení do spoločnosti na zaistenie služieb podpory samostatného spôsobu života, prístupného a cenovo dostupného bývania, pomocných služieb pre rodinných opatrovateľov a prístupu k inkluzívnemu vzdelávaniu.</w:t>
      </w:r>
    </w:p>
    <w:p w:rsidR="00E1270E" w:rsidRPr="000504B6" w:rsidRDefault="008832F4">
      <w:pPr>
        <w:pStyle w:val="Odsekzoznamu"/>
        <w:numPr>
          <w:ilvl w:val="0"/>
          <w:numId w:val="1"/>
        </w:numPr>
        <w:tabs>
          <w:tab w:val="left" w:pos="1855"/>
        </w:tabs>
        <w:spacing w:before="121" w:line="249" w:lineRule="auto"/>
        <w:ind w:right="1288" w:firstLine="0"/>
        <w:jc w:val="both"/>
        <w:rPr>
          <w:rFonts w:ascii="Times New Roman" w:eastAsia="Times New Roman" w:hAnsi="Times New Roman" w:cs="Times New Roman"/>
          <w:sz w:val="20"/>
          <w:szCs w:val="20"/>
        </w:rPr>
      </w:pPr>
      <w:r w:rsidRPr="000504B6">
        <w:rPr>
          <w:rFonts w:ascii="Times New Roman" w:hAnsi="Times New Roman" w:cs="Times New Roman"/>
          <w:sz w:val="20"/>
          <w:szCs w:val="20"/>
        </w:rPr>
        <w:t>Článok 19 dohovoru uznáva osobné právo nebyť nútený žiť v konkrétnom prostredí z dôvodu zdravotného postihnutia. Inštitucionalizácia je diskriminačná, pretože je dôkazom neschopnosti zabezpečiť v spoločnosti podporu a služby pre osoby so zdravotným postihnutím, ktoré sú nútené vzdať sa svojho začlenenia do spoločenského života z dôvodu získania liečebnej starostlivosti. Inštitucionalizácia osôb so zdravotným postihnutím ako podmienka získania starostlivosti o duševné zdravie zo strany verejného sektora predstavuje rozdielne zaobchádzanie z dôvodu zdravotného postihnutia, a preto má diskriminačný charakter.</w:t>
      </w:r>
    </w:p>
    <w:p w:rsidR="00E1270E" w:rsidRPr="000504B6" w:rsidRDefault="008832F4">
      <w:pPr>
        <w:pStyle w:val="Odsekzoznamu"/>
        <w:numPr>
          <w:ilvl w:val="0"/>
          <w:numId w:val="1"/>
        </w:numPr>
        <w:tabs>
          <w:tab w:val="left" w:pos="1855"/>
        </w:tabs>
        <w:spacing w:before="121" w:line="249" w:lineRule="auto"/>
        <w:ind w:right="1285" w:firstLine="0"/>
        <w:jc w:val="both"/>
        <w:rPr>
          <w:rFonts w:ascii="Times New Roman" w:eastAsia="Times New Roman" w:hAnsi="Times New Roman" w:cs="Times New Roman"/>
          <w:sz w:val="20"/>
          <w:szCs w:val="20"/>
        </w:rPr>
      </w:pPr>
      <w:r w:rsidRPr="000504B6">
        <w:rPr>
          <w:rFonts w:ascii="Times New Roman" w:hAnsi="Times New Roman" w:cs="Times New Roman"/>
          <w:sz w:val="20"/>
        </w:rPr>
        <w:t>Kritériá oprávnenosti a postupy na získanie prístupu k podporným službám sa musia definovať nediskriminačným spôsobom a zameriavať sa skôr na požiadavky osoby ako jej zdravotnú poruchu, a to na základe prístupu rešpektujúceho ľudské práva. Pri vytváraní podporných služieb je potrebné orientovať sa na jednotlivca, prispôsobiť sa jeho veku, pohlaviu a danej kultúre.</w:t>
      </w:r>
    </w:p>
    <w:p w:rsidR="00E1270E" w:rsidRPr="000504B6" w:rsidRDefault="008832F4">
      <w:pPr>
        <w:pStyle w:val="Odsekzoznamu"/>
        <w:numPr>
          <w:ilvl w:val="0"/>
          <w:numId w:val="1"/>
        </w:numPr>
        <w:tabs>
          <w:tab w:val="left" w:pos="1855"/>
        </w:tabs>
        <w:spacing w:before="121" w:line="249" w:lineRule="auto"/>
        <w:ind w:right="1291" w:firstLine="0"/>
        <w:jc w:val="both"/>
        <w:rPr>
          <w:rFonts w:ascii="Times New Roman" w:eastAsia="Times New Roman" w:hAnsi="Times New Roman" w:cs="Times New Roman"/>
          <w:sz w:val="20"/>
          <w:szCs w:val="20"/>
        </w:rPr>
      </w:pPr>
      <w:r w:rsidRPr="000504B6">
        <w:rPr>
          <w:rFonts w:ascii="Times New Roman" w:hAnsi="Times New Roman" w:cs="Times New Roman"/>
          <w:sz w:val="20"/>
        </w:rPr>
        <w:t>Zmluvné štáty by mali zakázať a zabrániť tretím stranám vo vytváraní praktických alebo procesných prekážok nezávislého spôsobu života a začlenenia do spoločnosti, napríklad tým, že zabezpečia, aby dané služby vyhovovali požiadavkám na nezávislý spôsob života v spoločnosti a aby osobám so zdravotným postihnutím nebola odopretá možnosť prenájmu alebo neboli znevýhodnení na trhu s nehnuteľnosťami.</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2"/>
        </w:numPr>
        <w:tabs>
          <w:tab w:val="left" w:pos="1286"/>
        </w:tabs>
        <w:ind w:right="1311" w:hanging="461"/>
        <w:jc w:val="left"/>
        <w:rPr>
          <w:rFonts w:cs="Times New Roman"/>
          <w:b w:val="0"/>
          <w:bCs w:val="0"/>
        </w:rPr>
      </w:pPr>
      <w:r w:rsidRPr="000504B6">
        <w:rPr>
          <w:rFonts w:cs="Times New Roman"/>
        </w:rPr>
        <w:t>Článok 23 o rešpektovaní domova a rodiny</w:t>
      </w:r>
    </w:p>
    <w:p w:rsidR="00E1270E" w:rsidRPr="000504B6" w:rsidRDefault="00E1270E">
      <w:pPr>
        <w:spacing w:before="3"/>
        <w:rPr>
          <w:rFonts w:ascii="Times New Roman" w:eastAsia="Times New Roman" w:hAnsi="Times New Roman" w:cs="Times New Roman"/>
          <w:b/>
          <w:bCs/>
          <w:sz w:val="21"/>
          <w:szCs w:val="21"/>
        </w:rPr>
      </w:pPr>
    </w:p>
    <w:p w:rsidR="00E1270E" w:rsidRPr="000504B6" w:rsidRDefault="008832F4">
      <w:pPr>
        <w:pStyle w:val="Odsekzoznamu"/>
        <w:numPr>
          <w:ilvl w:val="0"/>
          <w:numId w:val="1"/>
        </w:numPr>
        <w:tabs>
          <w:tab w:val="left" w:pos="1855"/>
        </w:tabs>
        <w:spacing w:line="249" w:lineRule="auto"/>
        <w:ind w:right="1289" w:firstLine="0"/>
        <w:jc w:val="both"/>
        <w:rPr>
          <w:rFonts w:ascii="Times New Roman" w:eastAsia="Times New Roman" w:hAnsi="Times New Roman" w:cs="Times New Roman"/>
          <w:sz w:val="20"/>
          <w:szCs w:val="20"/>
        </w:rPr>
      </w:pPr>
      <w:r w:rsidRPr="000504B6">
        <w:rPr>
          <w:rFonts w:ascii="Times New Roman" w:hAnsi="Times New Roman" w:cs="Times New Roman"/>
          <w:sz w:val="20"/>
        </w:rPr>
        <w:t>Osoby so zdravotným postihnutím sú často vystavené diskriminácii pri výkone práva uzavrieť manželstvo, resp. rodičovských a rodinných práv v dôsledku diskriminačných zákonov a politík a administratívnych opatrení. Rodičia so zdravotným postihnutím sa zvyčajne považujú za nevhodných alebo neschopných postarať sa o svoje deti. Oddelenie dieťaťa od rodičov z dôvodu, že je zdravotne postihnuté alebo kvôli zdravotnému postihnutiu jeho rodičov, príp. obidvoch má diskriminačný charakter a porušuje článok 23.</w:t>
      </w:r>
    </w:p>
    <w:p w:rsidR="00E1270E" w:rsidRPr="000504B6" w:rsidRDefault="00E1270E">
      <w:pPr>
        <w:spacing w:line="249" w:lineRule="auto"/>
        <w:jc w:val="both"/>
        <w:rPr>
          <w:rFonts w:ascii="Times New Roman" w:eastAsia="Times New Roman" w:hAnsi="Times New Roman" w:cs="Times New Roman"/>
          <w:sz w:val="20"/>
          <w:szCs w:val="20"/>
        </w:rPr>
        <w:sectPr w:rsidR="00E1270E" w:rsidRPr="000504B6">
          <w:pgSz w:w="11910" w:h="16850"/>
          <w:pgMar w:top="1140" w:right="980" w:bottom="740" w:left="980" w:header="875" w:footer="550" w:gutter="0"/>
          <w:cols w:space="708"/>
        </w:sectPr>
      </w:pPr>
    </w:p>
    <w:p w:rsidR="00E1270E" w:rsidRPr="000504B6" w:rsidRDefault="00E1270E">
      <w:pPr>
        <w:spacing w:before="5"/>
        <w:rPr>
          <w:rFonts w:ascii="Times New Roman" w:eastAsia="Times New Roman" w:hAnsi="Times New Roman" w:cs="Times New Roman"/>
          <w:sz w:val="17"/>
          <w:szCs w:val="17"/>
        </w:rPr>
      </w:pPr>
    </w:p>
    <w:p w:rsidR="00E1270E" w:rsidRPr="000504B6" w:rsidRDefault="008832F4">
      <w:pPr>
        <w:pStyle w:val="Odsekzoznamu"/>
        <w:numPr>
          <w:ilvl w:val="0"/>
          <w:numId w:val="1"/>
        </w:numPr>
        <w:tabs>
          <w:tab w:val="left" w:pos="1855"/>
        </w:tabs>
        <w:spacing w:before="73" w:line="249" w:lineRule="auto"/>
        <w:ind w:right="1289" w:firstLine="0"/>
        <w:jc w:val="both"/>
        <w:rPr>
          <w:rFonts w:ascii="Times New Roman" w:eastAsia="Times New Roman" w:hAnsi="Times New Roman" w:cs="Times New Roman"/>
          <w:sz w:val="20"/>
          <w:szCs w:val="20"/>
        </w:rPr>
      </w:pPr>
      <w:r w:rsidRPr="000504B6">
        <w:rPr>
          <w:rFonts w:ascii="Times New Roman" w:hAnsi="Times New Roman" w:cs="Times New Roman"/>
          <w:sz w:val="20"/>
        </w:rPr>
        <w:t>Umiestnenie detí do ústavnej starostlivosti z dôvodu ich zdravotnej poruchy je takisto formou diskriminácie zakázanou v článku 23 ods. 5 dohovoru. V rámci starostlivosti o deti v danej komunite sú zmluvné štáty povinné zabezpečiť nevyhnutnú podporu rodičov so zdravotným postihnutím, ako aj tých, ktorí majú zdravotne postihnuté deti.</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2"/>
        </w:numPr>
        <w:tabs>
          <w:tab w:val="left" w:pos="1286"/>
        </w:tabs>
        <w:ind w:right="1311" w:hanging="528"/>
        <w:jc w:val="left"/>
        <w:rPr>
          <w:rFonts w:cs="Times New Roman"/>
          <w:b w:val="0"/>
          <w:bCs w:val="0"/>
        </w:rPr>
      </w:pPr>
      <w:r w:rsidRPr="000504B6">
        <w:rPr>
          <w:rFonts w:cs="Times New Roman"/>
        </w:rPr>
        <w:t>Článok 24 o vzdelávaní</w:t>
      </w:r>
    </w:p>
    <w:p w:rsidR="00E1270E" w:rsidRPr="000504B6" w:rsidRDefault="00E1270E">
      <w:pPr>
        <w:spacing w:before="5"/>
        <w:rPr>
          <w:rFonts w:ascii="Times New Roman" w:eastAsia="Times New Roman" w:hAnsi="Times New Roman" w:cs="Times New Roman"/>
          <w:b/>
          <w:bCs/>
          <w:sz w:val="21"/>
          <w:szCs w:val="21"/>
        </w:rPr>
      </w:pPr>
    </w:p>
    <w:p w:rsidR="00E1270E" w:rsidRPr="000504B6" w:rsidRDefault="008832F4">
      <w:pPr>
        <w:pStyle w:val="Odsekzoznamu"/>
        <w:numPr>
          <w:ilvl w:val="0"/>
          <w:numId w:val="1"/>
        </w:numPr>
        <w:tabs>
          <w:tab w:val="left" w:pos="1855"/>
        </w:tabs>
        <w:spacing w:line="249" w:lineRule="auto"/>
        <w:ind w:right="1286" w:firstLine="0"/>
        <w:jc w:val="both"/>
        <w:rPr>
          <w:rFonts w:ascii="Times New Roman" w:eastAsia="Times New Roman" w:hAnsi="Times New Roman" w:cs="Times New Roman"/>
          <w:sz w:val="20"/>
          <w:szCs w:val="20"/>
        </w:rPr>
      </w:pPr>
      <w:r w:rsidRPr="000504B6">
        <w:rPr>
          <w:rFonts w:ascii="Times New Roman" w:hAnsi="Times New Roman" w:cs="Times New Roman"/>
          <w:sz w:val="20"/>
          <w:szCs w:val="20"/>
        </w:rPr>
        <w:t>Diskriminačnú povahu má aj neschopnosť niektorých zmluvných štátov zabezpečovať študentom so zdravotným postihnutím (vrátane študentov s viditeľným a neviditeľným postihnutím a tých, ktorí sa stretávajú s viacerými formami diskriminácie alebo prierezovou diskrimináciou) rovnaký prístup k bežným školám s inkluzívnym a kvalitným vzdelaním, pretože je v rozpore s cieľmi dohovoru a priamym porušením článkov 5 a 24. Článok 5 ods. 1 je v súlade s článkom 24, pričom vyžaduje od zmluvných štátov, aby odstránili všetky typy diskriminačných bariér vrátane právnych a sociálnych prekážok inkluzívneho vzdelávania.</w:t>
      </w:r>
    </w:p>
    <w:p w:rsidR="00E1270E" w:rsidRPr="000504B6" w:rsidRDefault="008832F4">
      <w:pPr>
        <w:pStyle w:val="Odsekzoznamu"/>
        <w:numPr>
          <w:ilvl w:val="0"/>
          <w:numId w:val="1"/>
        </w:numPr>
        <w:tabs>
          <w:tab w:val="left" w:pos="1855"/>
        </w:tabs>
        <w:spacing w:before="121" w:line="249" w:lineRule="auto"/>
        <w:ind w:right="1284" w:firstLine="0"/>
        <w:jc w:val="both"/>
        <w:rPr>
          <w:rFonts w:ascii="Times New Roman" w:eastAsia="Times New Roman" w:hAnsi="Times New Roman" w:cs="Times New Roman"/>
          <w:sz w:val="20"/>
          <w:szCs w:val="20"/>
        </w:rPr>
      </w:pPr>
      <w:r w:rsidRPr="000504B6">
        <w:rPr>
          <w:rFonts w:ascii="Times New Roman" w:hAnsi="Times New Roman" w:cs="Times New Roman"/>
          <w:sz w:val="20"/>
          <w:szCs w:val="20"/>
        </w:rPr>
        <w:t>Segregované modely vzdelávania, ktoré vylučujú študentov so zdravotným postihnutím z bežného a inkluzívneho vzdelávania z dôvodu zdravotného postihnutia porušujú článok 5 ods. 2 a článok 24 ods. 1 písm. a) dohovoru. Článok 5 ods. 3 vyžaduje, aby zmluvné štáty prijali všetky potrebné opatrenia na zaistenie primeraných úprav. Toto právo osôb so zdravotným postihnutím sa zdôrazňuje v článku 24 ods. 2 písm. b), ktorý vyžaduje, aby v daných komunitách zmluvné štáty zabezpečili takýmto osobám inkluzívne vzdelávanie na rovnakom základe s ostatnými. Tento cieľ možno dosiahnuť zaistením primeraných úprav v zmysle požiadaviek danej osoby v súlade s článkom 24 ods. 2 písm. c) a vytvorením nových a inkluzívnych prostredí podľa univerzálneho dizajnu. Štandardizované systémy hodnotenia (vrátane prijímacích skúšok), ktoré priamo alebo nepriamo vylučujú študentov so zdravotným postihnutím, majú diskriminačný charakter a porušujú články 5 a 24. Povinnosti zmluvných štátov sa netýkajú len školského vzdelávania. Okrem toho musia zmluvné štáty zabezpečiť všetkým študentom so zdravotným postihnutím prepravu do škôl, ak sú ich možnosti v tomto smere obmedzené z dôvodu sociálnych alebo ekonomických prekážok.</w:t>
      </w:r>
    </w:p>
    <w:p w:rsidR="00E1270E" w:rsidRPr="000504B6" w:rsidRDefault="008832F4">
      <w:pPr>
        <w:pStyle w:val="Odsekzoznamu"/>
        <w:numPr>
          <w:ilvl w:val="0"/>
          <w:numId w:val="1"/>
        </w:numPr>
        <w:tabs>
          <w:tab w:val="left" w:pos="1855"/>
        </w:tabs>
        <w:spacing w:before="121" w:line="249" w:lineRule="auto"/>
        <w:ind w:right="1292" w:firstLine="0"/>
        <w:jc w:val="both"/>
        <w:rPr>
          <w:rFonts w:ascii="Times New Roman" w:eastAsia="Times New Roman" w:hAnsi="Times New Roman" w:cs="Times New Roman"/>
          <w:sz w:val="20"/>
          <w:szCs w:val="20"/>
        </w:rPr>
      </w:pPr>
      <w:r w:rsidRPr="000504B6">
        <w:rPr>
          <w:rFonts w:ascii="Times New Roman" w:hAnsi="Times New Roman" w:cs="Times New Roman"/>
          <w:sz w:val="20"/>
        </w:rPr>
        <w:t>Na zaistenie rovnosti a nediskriminácie nepočujúcich detí v danej vzdelávacej inštitúcii sa im musí vytvoriť prostredie s výučbou posunkovej reči, ktoré bude zahŕňať aj nepočujúcich rovesníkov a nepočujúcich dospelých ako vzory. Nedostatočné znalosti posunkovej reči u učiteľov nepočujúcich detí a neprístupné školské prostredie tiež spôsobujú vylúčenie nepočujúcich detí z procesu vzdelávania. Považujú sa preto za diskriminačné. Výbor vyzýva zmluvné štáty, aby sa pri vykonávaní opatrení na plnenie svojich povinností podľa článkov 5 a 24 riadili jeho Všeobecným komentárom č. 4 (2016) o práve na inkluzívne vzdelávanie.</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2"/>
        </w:numPr>
        <w:tabs>
          <w:tab w:val="left" w:pos="1286"/>
        </w:tabs>
        <w:ind w:right="1311" w:hanging="502"/>
        <w:jc w:val="left"/>
        <w:rPr>
          <w:rFonts w:cs="Times New Roman"/>
          <w:b w:val="0"/>
          <w:bCs w:val="0"/>
        </w:rPr>
      </w:pPr>
      <w:r w:rsidRPr="000504B6">
        <w:rPr>
          <w:rFonts w:cs="Times New Roman"/>
        </w:rPr>
        <w:t>Článok 25 o zdraví</w:t>
      </w:r>
    </w:p>
    <w:p w:rsidR="00E1270E" w:rsidRPr="000504B6" w:rsidRDefault="00E1270E">
      <w:pPr>
        <w:spacing w:before="3"/>
        <w:rPr>
          <w:rFonts w:ascii="Times New Roman" w:eastAsia="Times New Roman" w:hAnsi="Times New Roman" w:cs="Times New Roman"/>
          <w:b/>
          <w:bCs/>
          <w:sz w:val="21"/>
          <w:szCs w:val="21"/>
        </w:rPr>
      </w:pPr>
    </w:p>
    <w:p w:rsidR="00E1270E" w:rsidRPr="000504B6" w:rsidRDefault="008832F4">
      <w:pPr>
        <w:pStyle w:val="Odsekzoznamu"/>
        <w:numPr>
          <w:ilvl w:val="0"/>
          <w:numId w:val="1"/>
        </w:numPr>
        <w:tabs>
          <w:tab w:val="left" w:pos="1855"/>
        </w:tabs>
        <w:spacing w:line="249" w:lineRule="auto"/>
        <w:ind w:right="1287" w:firstLine="0"/>
        <w:jc w:val="both"/>
        <w:rPr>
          <w:rFonts w:ascii="Times New Roman" w:eastAsia="Times New Roman" w:hAnsi="Times New Roman" w:cs="Times New Roman"/>
          <w:sz w:val="12"/>
          <w:szCs w:val="12"/>
        </w:rPr>
      </w:pPr>
      <w:r w:rsidRPr="000504B6">
        <w:rPr>
          <w:rFonts w:ascii="Times New Roman" w:hAnsi="Times New Roman" w:cs="Times New Roman"/>
          <w:sz w:val="20"/>
        </w:rPr>
        <w:t xml:space="preserve">Podľa článkov 5 a 25 dohovoru sú zmluvné štáty povinné zakázať a znemožniť diskriminačné odopieranie zdravotníckych služieb osobám so zdravotným postihnutím a poskytovať zdravotnícke služby zohľadňujúce rodový aspekt, vrátane práv na sexuálne a reprodukčné zdravie. </w:t>
      </w:r>
      <w:r w:rsidRPr="000504B6">
        <w:rPr>
          <w:rFonts w:ascii="Times New Roman" w:hAnsi="Times New Roman" w:cs="Times New Roman"/>
        </w:rPr>
        <w:t>Okrem toho sa musia</w:t>
      </w:r>
      <w:r w:rsidRPr="000504B6">
        <w:rPr>
          <w:rFonts w:ascii="Times New Roman" w:hAnsi="Times New Roman" w:cs="Times New Roman"/>
          <w:sz w:val="20"/>
        </w:rPr>
        <w:t xml:space="preserve"> zaoberať aj tými formami diskriminácie, ktoré nerešpektujú právo osôb so zdravotným postihnutím znemožňujúcim výkon ich práva na zdravotnú starostlivosť z dôvodu porušovania ich práva na získanie takejto starostlivosti na základe slobodného a informovaného súhlasu,</w:t>
      </w:r>
      <w:r w:rsidR="00310E2A">
        <w:rPr>
          <w:rStyle w:val="Odkaznapoznmkupodiarou"/>
          <w:rFonts w:ascii="Times New Roman" w:hAnsi="Times New Roman" w:cs="Times New Roman"/>
          <w:sz w:val="20"/>
        </w:rPr>
        <w:footnoteReference w:id="15"/>
      </w:r>
      <w:r w:rsidRPr="000504B6">
        <w:rPr>
          <w:rFonts w:ascii="Times New Roman" w:hAnsi="Times New Roman" w:cs="Times New Roman"/>
          <w:sz w:val="12"/>
        </w:rPr>
        <w:t xml:space="preserve"> </w:t>
      </w:r>
      <w:r w:rsidRPr="000504B6">
        <w:rPr>
          <w:rFonts w:ascii="Times New Roman" w:hAnsi="Times New Roman" w:cs="Times New Roman"/>
          <w:sz w:val="20"/>
        </w:rPr>
        <w:t>resp. tými formami diskriminácie, ktoré osobám so zdravotným postihnutím zneprístupňujú akékoľvek zariadenia alebo informácie.</w:t>
      </w:r>
      <w:r w:rsidR="00310E2A">
        <w:rPr>
          <w:rStyle w:val="Odkaznapoznmkupodiarou"/>
          <w:rFonts w:ascii="Times New Roman" w:hAnsi="Times New Roman" w:cs="Times New Roman"/>
          <w:sz w:val="20"/>
        </w:rPr>
        <w:footnoteReference w:id="16"/>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2"/>
        </w:numPr>
        <w:tabs>
          <w:tab w:val="left" w:pos="1286"/>
        </w:tabs>
        <w:ind w:right="1311" w:hanging="567"/>
        <w:jc w:val="left"/>
        <w:rPr>
          <w:rFonts w:cs="Times New Roman"/>
          <w:b w:val="0"/>
          <w:bCs w:val="0"/>
        </w:rPr>
      </w:pPr>
      <w:r w:rsidRPr="000504B6">
        <w:rPr>
          <w:rFonts w:cs="Times New Roman"/>
        </w:rPr>
        <w:t>Článok 27 o práci a zamestnávaní</w:t>
      </w:r>
    </w:p>
    <w:p w:rsidR="00E1270E" w:rsidRPr="000504B6" w:rsidRDefault="00E1270E">
      <w:pPr>
        <w:spacing w:before="5"/>
        <w:rPr>
          <w:rFonts w:ascii="Times New Roman" w:eastAsia="Times New Roman" w:hAnsi="Times New Roman" w:cs="Times New Roman"/>
          <w:b/>
          <w:bCs/>
          <w:sz w:val="21"/>
          <w:szCs w:val="21"/>
        </w:rPr>
      </w:pPr>
    </w:p>
    <w:p w:rsidR="00E1270E" w:rsidRPr="00310E2A" w:rsidRDefault="008832F4" w:rsidP="00310E2A">
      <w:pPr>
        <w:pStyle w:val="Odsekzoznamu"/>
        <w:numPr>
          <w:ilvl w:val="0"/>
          <w:numId w:val="1"/>
        </w:numPr>
        <w:tabs>
          <w:tab w:val="left" w:pos="1855"/>
        </w:tabs>
        <w:spacing w:before="73" w:line="249" w:lineRule="auto"/>
        <w:ind w:right="1235" w:firstLine="0"/>
        <w:jc w:val="both"/>
        <w:rPr>
          <w:rFonts w:ascii="Times New Roman" w:hAnsi="Times New Roman" w:cs="Times New Roman"/>
        </w:rPr>
      </w:pPr>
      <w:r w:rsidRPr="00310E2A">
        <w:rPr>
          <w:rFonts w:ascii="Times New Roman" w:hAnsi="Times New Roman" w:cs="Times New Roman"/>
          <w:sz w:val="20"/>
        </w:rPr>
        <w:t xml:space="preserve">Na dosiahnutie faktickej rovnosti v zmysle dohovoru musia zmluvné štáty zabezpečiť, aby nedochádzalo k diskriminácii z dôvodu zdravotného postihnutia v súvislosti </w:t>
      </w:r>
      <w:r w:rsidRPr="00310E2A">
        <w:rPr>
          <w:rFonts w:ascii="Times New Roman" w:hAnsi="Times New Roman" w:cs="Times New Roman"/>
          <w:sz w:val="20"/>
        </w:rPr>
        <w:lastRenderedPageBreak/>
        <w:t>s prácou a zamestnávaním.</w:t>
      </w:r>
      <w:r w:rsidR="00310E2A">
        <w:rPr>
          <w:rStyle w:val="Odkaznapoznmkupodiarou"/>
          <w:rFonts w:ascii="Times New Roman" w:hAnsi="Times New Roman" w:cs="Times New Roman"/>
          <w:sz w:val="20"/>
        </w:rPr>
        <w:footnoteReference w:id="17"/>
      </w:r>
      <w:r w:rsidRPr="00310E2A">
        <w:rPr>
          <w:rFonts w:ascii="Times New Roman" w:hAnsi="Times New Roman" w:cs="Times New Roman"/>
          <w:sz w:val="12"/>
        </w:rPr>
        <w:t xml:space="preserve"> </w:t>
      </w:r>
      <w:r w:rsidRPr="00310E2A">
        <w:rPr>
          <w:rFonts w:ascii="Times New Roman" w:hAnsi="Times New Roman" w:cs="Times New Roman"/>
          <w:sz w:val="20"/>
        </w:rPr>
        <w:t>V záujme zaistenia primeraných úprav podľa článku 5 ods. 3 a</w:t>
      </w:r>
      <w:r w:rsidR="00310E2A">
        <w:rPr>
          <w:rFonts w:ascii="Times New Roman" w:hAnsi="Times New Roman" w:cs="Times New Roman"/>
          <w:sz w:val="20"/>
        </w:rPr>
        <w:t xml:space="preserve"> </w:t>
      </w:r>
      <w:r w:rsidRPr="00310E2A">
        <w:rPr>
          <w:rFonts w:ascii="Times New Roman" w:hAnsi="Times New Roman" w:cs="Times New Roman"/>
          <w:sz w:val="20"/>
        </w:rPr>
        <w:t>dosiahnutia faktickej rovnosti alebo jeho urýchlenia v danom pracovnom prostredí podľa článku 5 ods. 4 by zmluvné štáty mali:</w:t>
      </w:r>
    </w:p>
    <w:p w:rsidR="00E1270E" w:rsidRPr="000504B6" w:rsidRDefault="008832F4">
      <w:pPr>
        <w:pStyle w:val="Odsekzoznamu"/>
        <w:numPr>
          <w:ilvl w:val="1"/>
          <w:numId w:val="1"/>
        </w:numPr>
        <w:tabs>
          <w:tab w:val="left" w:pos="2422"/>
        </w:tabs>
        <w:spacing w:before="121" w:line="249" w:lineRule="auto"/>
        <w:ind w:right="1291" w:firstLine="568"/>
        <w:jc w:val="both"/>
        <w:rPr>
          <w:rFonts w:ascii="Times New Roman" w:eastAsia="Times New Roman" w:hAnsi="Times New Roman" w:cs="Times New Roman"/>
          <w:sz w:val="20"/>
          <w:szCs w:val="20"/>
        </w:rPr>
      </w:pPr>
      <w:r w:rsidRPr="000504B6">
        <w:rPr>
          <w:rFonts w:ascii="Times New Roman" w:hAnsi="Times New Roman" w:cs="Times New Roman"/>
          <w:sz w:val="20"/>
        </w:rPr>
        <w:t>uľahčovať osobám so zdravotným postihnutím prechod zo segregovaného pracovného prostredia a podporiť ich účasť na otvorenom trhu práce a zároveň zabezpečiť v novom prostredí okamžitú uplatniteľnosť pracovných práv;</w:t>
      </w:r>
    </w:p>
    <w:p w:rsidR="00E1270E" w:rsidRPr="000504B6" w:rsidRDefault="008832F4">
      <w:pPr>
        <w:pStyle w:val="Odsekzoznamu"/>
        <w:numPr>
          <w:ilvl w:val="1"/>
          <w:numId w:val="1"/>
        </w:numPr>
        <w:tabs>
          <w:tab w:val="left" w:pos="2422"/>
        </w:tabs>
        <w:spacing w:before="121" w:line="249" w:lineRule="auto"/>
        <w:ind w:right="1291" w:firstLine="568"/>
        <w:jc w:val="both"/>
        <w:rPr>
          <w:rFonts w:ascii="Times New Roman" w:eastAsia="Times New Roman" w:hAnsi="Times New Roman" w:cs="Times New Roman"/>
          <w:sz w:val="20"/>
          <w:szCs w:val="20"/>
        </w:rPr>
      </w:pPr>
      <w:r w:rsidRPr="000504B6">
        <w:rPr>
          <w:rFonts w:ascii="Times New Roman" w:hAnsi="Times New Roman" w:cs="Times New Roman"/>
          <w:sz w:val="20"/>
        </w:rPr>
        <w:t>presadzovať právo na podporované zamestnávanie (vrátane práva na pomoc pri práci, odborné vedenie pri hľadaní zamestnania a absolvovanie odborných kvalifikačných programov), chrániť práva pracovníkov so zdravotným postihnutím a zabezpečovať výkon práva na slobodne zvolené zamestnanie;</w:t>
      </w:r>
    </w:p>
    <w:p w:rsidR="00E1270E" w:rsidRPr="000504B6" w:rsidRDefault="008832F4">
      <w:pPr>
        <w:pStyle w:val="Odsekzoznamu"/>
        <w:numPr>
          <w:ilvl w:val="1"/>
          <w:numId w:val="1"/>
        </w:numPr>
        <w:tabs>
          <w:tab w:val="left" w:pos="2422"/>
        </w:tabs>
        <w:spacing w:before="121" w:line="249" w:lineRule="auto"/>
        <w:ind w:right="1295" w:firstLine="568"/>
        <w:jc w:val="both"/>
        <w:rPr>
          <w:rFonts w:ascii="Times New Roman" w:eastAsia="Times New Roman" w:hAnsi="Times New Roman" w:cs="Times New Roman"/>
          <w:sz w:val="20"/>
          <w:szCs w:val="20"/>
        </w:rPr>
      </w:pPr>
      <w:r w:rsidRPr="000504B6">
        <w:rPr>
          <w:rFonts w:ascii="Times New Roman" w:hAnsi="Times New Roman" w:cs="Times New Roman"/>
          <w:sz w:val="20"/>
        </w:rPr>
        <w:t>zaisťovať, aby sa osobám so zdravotným postihnutím vyplácala suma aspoň vo výške minimálnej mzdy a aby tieto osoby nestratili nárok na invalidné dávky po tom, ako začnú pracovať;</w:t>
      </w:r>
    </w:p>
    <w:p w:rsidR="00E1270E" w:rsidRPr="000504B6" w:rsidRDefault="008832F4">
      <w:pPr>
        <w:pStyle w:val="Odsekzoznamu"/>
        <w:numPr>
          <w:ilvl w:val="1"/>
          <w:numId w:val="1"/>
        </w:numPr>
        <w:tabs>
          <w:tab w:val="left" w:pos="2422"/>
        </w:tabs>
        <w:spacing w:before="121" w:line="252" w:lineRule="auto"/>
        <w:ind w:right="1293" w:firstLine="568"/>
        <w:jc w:val="both"/>
        <w:rPr>
          <w:rFonts w:ascii="Times New Roman" w:eastAsia="Times New Roman" w:hAnsi="Times New Roman" w:cs="Times New Roman"/>
          <w:sz w:val="20"/>
          <w:szCs w:val="20"/>
        </w:rPr>
      </w:pPr>
      <w:r w:rsidRPr="000504B6">
        <w:rPr>
          <w:rFonts w:ascii="Times New Roman" w:hAnsi="Times New Roman" w:cs="Times New Roman"/>
          <w:sz w:val="20"/>
        </w:rPr>
        <w:t>výslovne uznať odmietnutie primeraných úprav ako diskrimináciu a zakázať viacnásobnú a prierezovú diskrimináciu, ako aj obťažovanie;</w:t>
      </w:r>
    </w:p>
    <w:p w:rsidR="00E1270E" w:rsidRPr="000504B6" w:rsidRDefault="008832F4">
      <w:pPr>
        <w:pStyle w:val="Odsekzoznamu"/>
        <w:numPr>
          <w:ilvl w:val="1"/>
          <w:numId w:val="1"/>
        </w:numPr>
        <w:tabs>
          <w:tab w:val="left" w:pos="2422"/>
        </w:tabs>
        <w:spacing w:before="119" w:line="249" w:lineRule="auto"/>
        <w:ind w:right="1291" w:firstLine="568"/>
        <w:jc w:val="both"/>
        <w:rPr>
          <w:rFonts w:ascii="Times New Roman" w:eastAsia="Times New Roman" w:hAnsi="Times New Roman" w:cs="Times New Roman"/>
          <w:sz w:val="20"/>
          <w:szCs w:val="20"/>
        </w:rPr>
      </w:pPr>
      <w:r w:rsidRPr="000504B6">
        <w:rPr>
          <w:rFonts w:ascii="Times New Roman" w:hAnsi="Times New Roman" w:cs="Times New Roman"/>
          <w:sz w:val="20"/>
        </w:rPr>
        <w:t>zabezpečovať náležitý prechod osôb so zdravotným postihnutím do zamestnania, ako aj ich odchod z pracovného života nediskriminačným spôsobom. Zmluvné štáty sú navyše povinné zaisťovať takýmto osobám rovnaký a účinný prístup k príspevkom a nárokom, akými sú dôchodky alebo dávky v nezamestnanosti. Takéto nároky sa nesmú porušovať znemožnením začlenenia do procesu zamestnávania, čo ešte viac prehlbuje stav vylúčenia;</w:t>
      </w:r>
    </w:p>
    <w:p w:rsidR="00E1270E" w:rsidRPr="000504B6" w:rsidRDefault="008832F4">
      <w:pPr>
        <w:pStyle w:val="Odsekzoznamu"/>
        <w:numPr>
          <w:ilvl w:val="1"/>
          <w:numId w:val="1"/>
        </w:numPr>
        <w:tabs>
          <w:tab w:val="left" w:pos="2422"/>
        </w:tabs>
        <w:spacing w:before="121" w:line="249" w:lineRule="auto"/>
        <w:ind w:right="1287" w:firstLine="568"/>
        <w:jc w:val="both"/>
        <w:rPr>
          <w:rFonts w:ascii="Times New Roman" w:eastAsia="Times New Roman" w:hAnsi="Times New Roman" w:cs="Times New Roman"/>
          <w:sz w:val="20"/>
          <w:szCs w:val="20"/>
        </w:rPr>
      </w:pPr>
      <w:r w:rsidRPr="000504B6">
        <w:rPr>
          <w:rFonts w:ascii="Times New Roman" w:hAnsi="Times New Roman" w:cs="Times New Roman"/>
          <w:sz w:val="20"/>
        </w:rPr>
        <w:t>podporovať zamestnávanie v inkluzívnom a prístupnom, bezpečnom a zdravom pracovnom prostredí vo verejnom aj súkromnom sektore;</w:t>
      </w:r>
    </w:p>
    <w:p w:rsidR="00E1270E" w:rsidRPr="000504B6" w:rsidRDefault="008832F4">
      <w:pPr>
        <w:pStyle w:val="Odsekzoznamu"/>
        <w:numPr>
          <w:ilvl w:val="1"/>
          <w:numId w:val="1"/>
        </w:numPr>
        <w:tabs>
          <w:tab w:val="left" w:pos="2422"/>
        </w:tabs>
        <w:spacing w:before="121" w:line="249" w:lineRule="auto"/>
        <w:ind w:right="1294" w:firstLine="568"/>
        <w:jc w:val="both"/>
        <w:rPr>
          <w:rFonts w:ascii="Times New Roman" w:eastAsia="Times New Roman" w:hAnsi="Times New Roman" w:cs="Times New Roman"/>
          <w:sz w:val="20"/>
          <w:szCs w:val="20"/>
        </w:rPr>
      </w:pPr>
      <w:r w:rsidRPr="000504B6">
        <w:rPr>
          <w:rFonts w:ascii="Times New Roman" w:hAnsi="Times New Roman" w:cs="Times New Roman"/>
          <w:sz w:val="20"/>
        </w:rPr>
        <w:t>zabezpečovať osobám so zdravotným postihnutím rovnaké príležitosti týkajúce sa kariérneho rastu, a to prostredníctvom pravidelných hodnotiacich stretnutí s ich manažérmi a stanovením cieľov, ktoré je potrebné dosiahnuť v rámci komplexnej stratégie;</w:t>
      </w:r>
    </w:p>
    <w:p w:rsidR="00E1270E" w:rsidRPr="000504B6" w:rsidRDefault="008832F4">
      <w:pPr>
        <w:pStyle w:val="Odsekzoznamu"/>
        <w:numPr>
          <w:ilvl w:val="1"/>
          <w:numId w:val="1"/>
        </w:numPr>
        <w:tabs>
          <w:tab w:val="left" w:pos="2422"/>
        </w:tabs>
        <w:spacing w:before="121" w:line="249" w:lineRule="auto"/>
        <w:ind w:right="1240" w:firstLine="568"/>
        <w:jc w:val="both"/>
        <w:rPr>
          <w:rFonts w:ascii="Times New Roman" w:eastAsia="Times New Roman" w:hAnsi="Times New Roman" w:cs="Times New Roman"/>
          <w:sz w:val="20"/>
          <w:szCs w:val="20"/>
        </w:rPr>
      </w:pPr>
      <w:r w:rsidRPr="000504B6">
        <w:rPr>
          <w:rFonts w:ascii="Times New Roman" w:hAnsi="Times New Roman" w:cs="Times New Roman"/>
          <w:sz w:val="20"/>
        </w:rPr>
        <w:t>umožňovať prístup k odbornej príprave, rekvalifikácii a vzdelávaniu vrátane odborného vzdelávania a posilňovania schopností zamestnancov so zdravotným postihnutím a zaisťovať organizovanie školení o zamestnávaní osôb so zdravotným postihnutím a primeraných úpravách pre zamestnávateľov, zastupiteľské organizácie takýchto zamestnancov a ich zamestnávateľov, odbory a iné príslušné orgány;</w:t>
      </w:r>
    </w:p>
    <w:p w:rsidR="00E1270E" w:rsidRPr="000504B6" w:rsidRDefault="008832F4">
      <w:pPr>
        <w:pStyle w:val="Odsekzoznamu"/>
        <w:numPr>
          <w:ilvl w:val="1"/>
          <w:numId w:val="1"/>
        </w:numPr>
        <w:tabs>
          <w:tab w:val="left" w:pos="2422"/>
        </w:tabs>
        <w:spacing w:before="121" w:line="249" w:lineRule="auto"/>
        <w:ind w:right="1291" w:firstLine="568"/>
        <w:jc w:val="both"/>
        <w:rPr>
          <w:rFonts w:ascii="Times New Roman" w:eastAsia="Times New Roman" w:hAnsi="Times New Roman" w:cs="Times New Roman"/>
          <w:sz w:val="20"/>
          <w:szCs w:val="20"/>
        </w:rPr>
      </w:pPr>
      <w:r w:rsidRPr="000504B6">
        <w:rPr>
          <w:rFonts w:ascii="Times New Roman" w:hAnsi="Times New Roman" w:cs="Times New Roman"/>
          <w:sz w:val="20"/>
        </w:rPr>
        <w:t>usilovať sa o prijatie všeobecných opatrení v oblasti bezpečnosti a ochrany zdravia pri práci, ktoré možno uplatniť na osoby so zdravotným postihnutím, vrátane predpisov o bezpečnosti a zdraví pri práci, ktoré nie sú diskriminačné a nevylučujú osoby so zdravotným postihnutím;</w:t>
      </w:r>
    </w:p>
    <w:p w:rsidR="00E1270E" w:rsidRPr="000504B6" w:rsidRDefault="008832F4">
      <w:pPr>
        <w:pStyle w:val="Odsekzoznamu"/>
        <w:numPr>
          <w:ilvl w:val="1"/>
          <w:numId w:val="1"/>
        </w:numPr>
        <w:tabs>
          <w:tab w:val="left" w:pos="2422"/>
        </w:tabs>
        <w:spacing w:before="121" w:line="249" w:lineRule="auto"/>
        <w:ind w:right="1290" w:firstLine="568"/>
        <w:jc w:val="both"/>
        <w:rPr>
          <w:rFonts w:ascii="Times New Roman" w:eastAsia="Times New Roman" w:hAnsi="Times New Roman" w:cs="Times New Roman"/>
          <w:sz w:val="20"/>
          <w:szCs w:val="20"/>
        </w:rPr>
      </w:pPr>
      <w:r w:rsidRPr="000504B6">
        <w:rPr>
          <w:rFonts w:ascii="Times New Roman" w:hAnsi="Times New Roman" w:cs="Times New Roman"/>
          <w:sz w:val="20"/>
        </w:rPr>
        <w:t>uznať právo osôb so zdravotným postihnutím na prístup k odborovým zväzom a organizáciám.</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2"/>
        </w:numPr>
        <w:tabs>
          <w:tab w:val="left" w:pos="1286"/>
        </w:tabs>
        <w:ind w:right="1311"/>
        <w:jc w:val="left"/>
        <w:rPr>
          <w:rFonts w:cs="Times New Roman"/>
          <w:b w:val="0"/>
          <w:bCs w:val="0"/>
        </w:rPr>
      </w:pPr>
      <w:r w:rsidRPr="000504B6">
        <w:rPr>
          <w:rFonts w:cs="Times New Roman"/>
        </w:rPr>
        <w:t>Článok 28 o primeranej životnej úrovni a sociálnej ochrane</w:t>
      </w:r>
    </w:p>
    <w:p w:rsidR="00E1270E" w:rsidRPr="000504B6" w:rsidRDefault="00E1270E">
      <w:pPr>
        <w:spacing w:before="5"/>
        <w:rPr>
          <w:rFonts w:ascii="Times New Roman" w:eastAsia="Times New Roman" w:hAnsi="Times New Roman" w:cs="Times New Roman"/>
          <w:b/>
          <w:bCs/>
          <w:sz w:val="21"/>
          <w:szCs w:val="21"/>
        </w:rPr>
      </w:pPr>
    </w:p>
    <w:p w:rsidR="00E1270E" w:rsidRPr="000504B6" w:rsidRDefault="008832F4">
      <w:pPr>
        <w:pStyle w:val="Odsekzoznamu"/>
        <w:numPr>
          <w:ilvl w:val="0"/>
          <w:numId w:val="1"/>
        </w:numPr>
        <w:tabs>
          <w:tab w:val="left" w:pos="1855"/>
        </w:tabs>
        <w:spacing w:line="249" w:lineRule="auto"/>
        <w:ind w:right="1287" w:firstLine="0"/>
        <w:jc w:val="both"/>
        <w:rPr>
          <w:rFonts w:ascii="Times New Roman" w:eastAsia="Times New Roman" w:hAnsi="Times New Roman" w:cs="Times New Roman"/>
          <w:sz w:val="12"/>
          <w:szCs w:val="12"/>
        </w:rPr>
      </w:pPr>
      <w:r w:rsidRPr="000504B6">
        <w:rPr>
          <w:rFonts w:ascii="Times New Roman" w:hAnsi="Times New Roman" w:cs="Times New Roman"/>
          <w:sz w:val="20"/>
          <w:szCs w:val="20"/>
        </w:rPr>
        <w:t xml:space="preserve">Podľa ustanovení odseku 59 Všeobecného komentára výboru č. 3 je chudoba kombináciou a výsledkom viacnásobnej diskriminácie. Neschopnosť zabezpečiť výkon práva na primeranú životnú úroveň osobami so zdravotným postihnutím a ich rodinami je v rozpore s cieľmi dohovoru. Táto neschopnosť je obzvlášť znepokojujúca v prípade osôb so zdravotným postihnutím žijúcich v extrémnej chudobe alebo biede. Takýmto osobám zvyčajne vznikajú dodatočné výdavky, ak chcú dosiahnuť primeranú životnú úroveň porovnateľnú s ostatnými. Znevýhodňuje to predovšetkým deti alebo staršie ženy so zdravotným postihnutím, ktoré žijú v extrémnej chudobe a biede. Zmluvné štáty by mali prijať účinné opatrenia umožňujúce zdravotne postihnutým osobám pokryť vzniknuté dodatočné výdavky spojené s ich zdravotným postihnutím. Zmluvné štáty sú povinné podniknúť okamžité kroky, aby osobám so zdravotným postihnutím žijúcim v extrémnej chudobe a biede zabezpečili základné životné potreby vrátane dostatočnej výživy, oblečenia </w:t>
      </w:r>
      <w:r w:rsidRPr="000504B6">
        <w:rPr>
          <w:rFonts w:ascii="Times New Roman" w:hAnsi="Times New Roman" w:cs="Times New Roman"/>
          <w:sz w:val="20"/>
          <w:szCs w:val="20"/>
        </w:rPr>
        <w:lastRenderedPageBreak/>
        <w:t>a ubytovania.</w:t>
      </w:r>
      <w:r w:rsidR="00310E2A">
        <w:rPr>
          <w:rStyle w:val="Odkaznapoznmkupodiarou"/>
          <w:rFonts w:ascii="Times New Roman" w:hAnsi="Times New Roman" w:cs="Times New Roman"/>
          <w:sz w:val="20"/>
          <w:szCs w:val="20"/>
        </w:rPr>
        <w:footnoteReference w:id="18"/>
      </w:r>
    </w:p>
    <w:p w:rsidR="00E1270E" w:rsidRPr="000504B6" w:rsidRDefault="008832F4">
      <w:pPr>
        <w:pStyle w:val="Odsekzoznamu"/>
        <w:numPr>
          <w:ilvl w:val="0"/>
          <w:numId w:val="1"/>
        </w:numPr>
        <w:tabs>
          <w:tab w:val="left" w:pos="1855"/>
        </w:tabs>
        <w:spacing w:before="121" w:line="249" w:lineRule="auto"/>
        <w:ind w:right="1291" w:firstLine="0"/>
        <w:jc w:val="both"/>
        <w:rPr>
          <w:rFonts w:ascii="Times New Roman" w:eastAsia="Times New Roman" w:hAnsi="Times New Roman" w:cs="Times New Roman"/>
          <w:sz w:val="20"/>
          <w:szCs w:val="20"/>
        </w:rPr>
      </w:pPr>
      <w:r w:rsidRPr="000504B6">
        <w:rPr>
          <w:rFonts w:ascii="Times New Roman" w:hAnsi="Times New Roman" w:cs="Times New Roman"/>
          <w:sz w:val="20"/>
        </w:rPr>
        <w:t>V súvislosti so sociálnou ochranou sú zmluvné štáty povinné zaviesť základnú úroveň ochrany.</w:t>
      </w:r>
    </w:p>
    <w:p w:rsidR="00E1270E" w:rsidRPr="000504B6" w:rsidRDefault="00E1270E">
      <w:pPr>
        <w:spacing w:before="10"/>
        <w:rPr>
          <w:rFonts w:ascii="Times New Roman" w:eastAsia="Times New Roman" w:hAnsi="Times New Roman" w:cs="Times New Roman"/>
          <w:sz w:val="16"/>
          <w:szCs w:val="16"/>
        </w:rPr>
      </w:pPr>
    </w:p>
    <w:p w:rsidR="00E1270E" w:rsidRPr="000504B6" w:rsidRDefault="008832F4">
      <w:pPr>
        <w:pStyle w:val="Nadpis2"/>
        <w:numPr>
          <w:ilvl w:val="0"/>
          <w:numId w:val="2"/>
        </w:numPr>
        <w:tabs>
          <w:tab w:val="left" w:pos="1286"/>
        </w:tabs>
        <w:spacing w:before="69"/>
        <w:ind w:right="1311" w:hanging="528"/>
        <w:jc w:val="left"/>
        <w:rPr>
          <w:rFonts w:cs="Times New Roman"/>
          <w:b w:val="0"/>
          <w:bCs w:val="0"/>
        </w:rPr>
      </w:pPr>
      <w:r w:rsidRPr="000504B6">
        <w:rPr>
          <w:rFonts w:cs="Times New Roman"/>
        </w:rPr>
        <w:t>Článok 29 o účasti na politickom a verejnom živote</w:t>
      </w:r>
    </w:p>
    <w:p w:rsidR="00E1270E" w:rsidRPr="000504B6" w:rsidRDefault="00E1270E">
      <w:pPr>
        <w:spacing w:before="5"/>
        <w:rPr>
          <w:rFonts w:ascii="Times New Roman" w:eastAsia="Times New Roman" w:hAnsi="Times New Roman" w:cs="Times New Roman"/>
          <w:b/>
          <w:bCs/>
          <w:sz w:val="21"/>
          <w:szCs w:val="21"/>
        </w:rPr>
      </w:pPr>
    </w:p>
    <w:p w:rsidR="00E1270E" w:rsidRPr="000504B6" w:rsidRDefault="008832F4">
      <w:pPr>
        <w:pStyle w:val="Odsekzoznamu"/>
        <w:numPr>
          <w:ilvl w:val="0"/>
          <w:numId w:val="1"/>
        </w:numPr>
        <w:tabs>
          <w:tab w:val="left" w:pos="1855"/>
        </w:tabs>
        <w:spacing w:line="249" w:lineRule="auto"/>
        <w:ind w:right="1291" w:firstLine="0"/>
        <w:jc w:val="both"/>
        <w:rPr>
          <w:rFonts w:ascii="Times New Roman" w:eastAsia="Times New Roman" w:hAnsi="Times New Roman" w:cs="Times New Roman"/>
          <w:sz w:val="20"/>
          <w:szCs w:val="20"/>
        </w:rPr>
      </w:pPr>
      <w:r w:rsidRPr="000504B6">
        <w:rPr>
          <w:rFonts w:ascii="Times New Roman" w:hAnsi="Times New Roman" w:cs="Times New Roman"/>
          <w:sz w:val="20"/>
        </w:rPr>
        <w:t>Vylúčenie z volebných procesov a iných foriem účasti na politickom živote je častým príkladom diskriminácie z dôvodu zdravotného postihnutia. Takéto vylúčenie je úzko spojené s odmietnutím alebo obmedzením právnej spôsobilosti. Zmluvné štáty by sa mali v tomto ohľade zamerať na:</w:t>
      </w:r>
    </w:p>
    <w:p w:rsidR="00E1270E" w:rsidRPr="000504B6" w:rsidRDefault="008832F4">
      <w:pPr>
        <w:pStyle w:val="Odsekzoznamu"/>
        <w:numPr>
          <w:ilvl w:val="1"/>
          <w:numId w:val="1"/>
        </w:numPr>
        <w:tabs>
          <w:tab w:val="left" w:pos="2422"/>
        </w:tabs>
        <w:spacing w:before="121" w:line="249" w:lineRule="auto"/>
        <w:ind w:right="1290" w:firstLine="568"/>
        <w:jc w:val="both"/>
        <w:rPr>
          <w:rFonts w:ascii="Times New Roman" w:eastAsia="Times New Roman" w:hAnsi="Times New Roman" w:cs="Times New Roman"/>
          <w:sz w:val="20"/>
          <w:szCs w:val="20"/>
        </w:rPr>
      </w:pPr>
      <w:r w:rsidRPr="000504B6">
        <w:rPr>
          <w:rFonts w:ascii="Times New Roman" w:hAnsi="Times New Roman" w:cs="Times New Roman"/>
          <w:sz w:val="20"/>
        </w:rPr>
        <w:t>reformu zákonov, politík a predpisy, ktoré systematicky vylučujú zdravotne postihnuté osoby z hlasovania a/alebo kandidovania vo voľbách;</w:t>
      </w:r>
    </w:p>
    <w:p w:rsidR="00E1270E" w:rsidRPr="000504B6" w:rsidRDefault="008832F4">
      <w:pPr>
        <w:pStyle w:val="Odsekzoznamu"/>
        <w:numPr>
          <w:ilvl w:val="1"/>
          <w:numId w:val="1"/>
        </w:numPr>
        <w:tabs>
          <w:tab w:val="left" w:pos="2422"/>
        </w:tabs>
        <w:spacing w:before="121" w:line="249" w:lineRule="auto"/>
        <w:ind w:right="1296" w:firstLine="568"/>
        <w:jc w:val="both"/>
        <w:rPr>
          <w:rFonts w:ascii="Times New Roman" w:eastAsia="Times New Roman" w:hAnsi="Times New Roman" w:cs="Times New Roman"/>
          <w:sz w:val="20"/>
          <w:szCs w:val="20"/>
        </w:rPr>
      </w:pPr>
      <w:r w:rsidRPr="000504B6">
        <w:rPr>
          <w:rFonts w:ascii="Times New Roman" w:hAnsi="Times New Roman" w:cs="Times New Roman"/>
          <w:sz w:val="20"/>
        </w:rPr>
        <w:t>sprístupnenie volebného procesu všetkým osobám so zdravotným postihnutím, a to pred voľbami, počas nich aj po ich skončení;</w:t>
      </w:r>
    </w:p>
    <w:p w:rsidR="00E1270E" w:rsidRPr="000504B6" w:rsidRDefault="008832F4">
      <w:pPr>
        <w:pStyle w:val="Odsekzoznamu"/>
        <w:numPr>
          <w:ilvl w:val="1"/>
          <w:numId w:val="1"/>
        </w:numPr>
        <w:tabs>
          <w:tab w:val="left" w:pos="2422"/>
        </w:tabs>
        <w:spacing w:before="121" w:line="249" w:lineRule="auto"/>
        <w:ind w:right="1291" w:firstLine="568"/>
        <w:jc w:val="both"/>
        <w:rPr>
          <w:rFonts w:ascii="Times New Roman" w:eastAsia="Times New Roman" w:hAnsi="Times New Roman" w:cs="Times New Roman"/>
          <w:sz w:val="20"/>
          <w:szCs w:val="20"/>
        </w:rPr>
      </w:pPr>
      <w:r w:rsidRPr="000504B6">
        <w:rPr>
          <w:rFonts w:ascii="Times New Roman" w:hAnsi="Times New Roman" w:cs="Times New Roman"/>
          <w:sz w:val="20"/>
        </w:rPr>
        <w:t>zabezpečenie primeraných úprav jednotlivým osobám so zdravotným postihnutím a prijatie opatrení vychádzajúcich z individuálnych požiadaviek takýchto osôb na podporu ich účasti na politickom a verejnom živote;</w:t>
      </w:r>
    </w:p>
    <w:p w:rsidR="00E1270E" w:rsidRPr="000504B6" w:rsidRDefault="008832F4">
      <w:pPr>
        <w:pStyle w:val="Odsekzoznamu"/>
        <w:numPr>
          <w:ilvl w:val="1"/>
          <w:numId w:val="1"/>
        </w:numPr>
        <w:tabs>
          <w:tab w:val="left" w:pos="2422"/>
        </w:tabs>
        <w:spacing w:before="121" w:line="249" w:lineRule="auto"/>
        <w:ind w:right="1245" w:firstLine="568"/>
        <w:jc w:val="both"/>
        <w:rPr>
          <w:rFonts w:ascii="Times New Roman" w:eastAsia="Times New Roman" w:hAnsi="Times New Roman" w:cs="Times New Roman"/>
          <w:sz w:val="20"/>
          <w:szCs w:val="20"/>
        </w:rPr>
      </w:pPr>
      <w:r w:rsidRPr="000504B6">
        <w:rPr>
          <w:rFonts w:ascii="Times New Roman" w:hAnsi="Times New Roman" w:cs="Times New Roman"/>
          <w:sz w:val="20"/>
        </w:rPr>
        <w:t>podporu a spoluprácu so zastupiteľskými organizáciami osôb so zdravotným postihnutím v procese ich politickej účasti na národnej, regionálnej i medzinárodnej úrovni, a to aj prostredníctvom konzultácií s takýmito organizáciami vo veciach, ktoré sa osôb so zdravotným postihnutím priamo týkajú;</w:t>
      </w:r>
    </w:p>
    <w:p w:rsidR="00E1270E" w:rsidRPr="000504B6" w:rsidRDefault="008832F4">
      <w:pPr>
        <w:pStyle w:val="Odsekzoznamu"/>
        <w:numPr>
          <w:ilvl w:val="1"/>
          <w:numId w:val="1"/>
        </w:numPr>
        <w:tabs>
          <w:tab w:val="left" w:pos="2422"/>
        </w:tabs>
        <w:spacing w:before="121" w:line="249" w:lineRule="auto"/>
        <w:ind w:right="1292" w:firstLine="568"/>
        <w:jc w:val="both"/>
        <w:rPr>
          <w:rFonts w:ascii="Times New Roman" w:eastAsia="Times New Roman" w:hAnsi="Times New Roman" w:cs="Times New Roman"/>
          <w:sz w:val="20"/>
          <w:szCs w:val="20"/>
        </w:rPr>
      </w:pPr>
      <w:r w:rsidRPr="000504B6">
        <w:rPr>
          <w:rFonts w:ascii="Times New Roman" w:hAnsi="Times New Roman" w:cs="Times New Roman"/>
          <w:sz w:val="20"/>
        </w:rPr>
        <w:t>tvorbu informačných systémov a právnych predpisov, ktoré zohľadňujú nepretržitú účasť osôb so zdravotným postihnutím na politickom živote, a to aj v období medzi voľbami.</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2"/>
        </w:numPr>
        <w:tabs>
          <w:tab w:val="left" w:pos="1286"/>
        </w:tabs>
        <w:ind w:right="1311" w:hanging="488"/>
        <w:jc w:val="left"/>
        <w:rPr>
          <w:rFonts w:cs="Times New Roman"/>
          <w:b w:val="0"/>
          <w:bCs w:val="0"/>
        </w:rPr>
      </w:pPr>
      <w:r w:rsidRPr="000504B6">
        <w:rPr>
          <w:rFonts w:cs="Times New Roman"/>
        </w:rPr>
        <w:t>Článok 31 o štatistike a zhromažďovaní údajov</w:t>
      </w:r>
    </w:p>
    <w:p w:rsidR="00E1270E" w:rsidRPr="000504B6" w:rsidRDefault="00E1270E">
      <w:pPr>
        <w:spacing w:before="2"/>
        <w:rPr>
          <w:rFonts w:ascii="Times New Roman" w:eastAsia="Times New Roman" w:hAnsi="Times New Roman" w:cs="Times New Roman"/>
          <w:b/>
          <w:bCs/>
          <w:sz w:val="21"/>
          <w:szCs w:val="21"/>
        </w:rPr>
      </w:pPr>
    </w:p>
    <w:p w:rsidR="00E1270E" w:rsidRPr="000504B6" w:rsidRDefault="008832F4">
      <w:pPr>
        <w:pStyle w:val="Odsekzoznamu"/>
        <w:numPr>
          <w:ilvl w:val="0"/>
          <w:numId w:val="1"/>
        </w:numPr>
        <w:tabs>
          <w:tab w:val="left" w:pos="1855"/>
        </w:tabs>
        <w:spacing w:line="249" w:lineRule="auto"/>
        <w:ind w:right="1284" w:firstLine="0"/>
        <w:jc w:val="both"/>
        <w:rPr>
          <w:rFonts w:ascii="Times New Roman" w:eastAsia="Times New Roman" w:hAnsi="Times New Roman" w:cs="Times New Roman"/>
          <w:sz w:val="20"/>
          <w:szCs w:val="20"/>
        </w:rPr>
      </w:pPr>
      <w:r w:rsidRPr="000504B6">
        <w:rPr>
          <w:rFonts w:ascii="Times New Roman" w:hAnsi="Times New Roman" w:cs="Times New Roman"/>
          <w:sz w:val="20"/>
        </w:rPr>
        <w:t>Zhromažďovanie a analýza údajov sú základnými opatreniami na kontrolu dodržiavania politík a zákonov na boj proti diskriminácii. Zmluvné štáty by mali zhromažďovať a analyzovať údaje, ktoré je potrebné ďalej rozčleniť podľa typu zdravotného postihnutia a prierezových kategórií. Zhromaždené údaje by mali obsahovať informácie o všetkých formách diskriminácie. Okrem toho by mali byť obsahovo rozsiahle a zahŕňať štatistiky, argumenty a iné formy údajov, ako napr. ukazovatele na hodnotenie realizácie nových alebo existujúcich iniciatív a politík a monitorovanie ich pokroku a účinnosti. Ukazovatele zohľadňujúce zdravotné postihnutie musia byť vypracované a používané spôsobom, ktorý je zlučiteľný s Programom trvalo udržateľného rozvoja do roku 2030. Činnosti navrhovania, zhromažďovania a analýzy údajov by mali umožňovať aktívnu účasť, tzn. mali by sa vykonávať v úzkej a zmysluplnej spolupráci so zastupiteľskými organizáciami osôb so zdravotným postihnutím vrátane detí. Na osoby žijúce v uzavretých priestoroch, akými sú napr. ústavy alebo psychiatrické nemocnice, sa vo výskumoch a štúdiách zhromažďujúcich údaje často neprihliada. Údaje o takýchto osobách by práve naopak mali byť ich súčasťou.</w:t>
      </w:r>
    </w:p>
    <w:p w:rsidR="00E1270E" w:rsidRPr="000504B6" w:rsidRDefault="00E1270E">
      <w:pPr>
        <w:rPr>
          <w:rFonts w:ascii="Times New Roman" w:eastAsia="Times New Roman" w:hAnsi="Times New Roman" w:cs="Times New Roman"/>
          <w:sz w:val="20"/>
          <w:szCs w:val="20"/>
        </w:rPr>
      </w:pPr>
    </w:p>
    <w:p w:rsidR="00E1270E" w:rsidRPr="000504B6" w:rsidRDefault="008832F4">
      <w:pPr>
        <w:pStyle w:val="Nadpis2"/>
        <w:numPr>
          <w:ilvl w:val="0"/>
          <w:numId w:val="2"/>
        </w:numPr>
        <w:tabs>
          <w:tab w:val="left" w:pos="1286"/>
        </w:tabs>
        <w:spacing w:before="121"/>
        <w:ind w:right="1311" w:hanging="528"/>
        <w:jc w:val="left"/>
        <w:rPr>
          <w:rFonts w:cs="Times New Roman"/>
          <w:b w:val="0"/>
          <w:bCs w:val="0"/>
        </w:rPr>
      </w:pPr>
      <w:r w:rsidRPr="000504B6">
        <w:rPr>
          <w:rFonts w:cs="Times New Roman"/>
        </w:rPr>
        <w:t>Článok 32 o medzinárodnej spolupráci</w:t>
      </w:r>
    </w:p>
    <w:p w:rsidR="00E1270E" w:rsidRPr="000504B6" w:rsidRDefault="00E1270E">
      <w:pPr>
        <w:spacing w:before="5"/>
        <w:rPr>
          <w:rFonts w:ascii="Times New Roman" w:eastAsia="Times New Roman" w:hAnsi="Times New Roman" w:cs="Times New Roman"/>
          <w:b/>
          <w:bCs/>
          <w:sz w:val="21"/>
          <w:szCs w:val="21"/>
        </w:rPr>
      </w:pPr>
    </w:p>
    <w:p w:rsidR="00E1270E" w:rsidRPr="000504B6" w:rsidRDefault="008832F4">
      <w:pPr>
        <w:pStyle w:val="Odsekzoznamu"/>
        <w:numPr>
          <w:ilvl w:val="0"/>
          <w:numId w:val="1"/>
        </w:numPr>
        <w:tabs>
          <w:tab w:val="left" w:pos="1855"/>
        </w:tabs>
        <w:spacing w:line="249" w:lineRule="auto"/>
        <w:ind w:right="1293" w:firstLine="0"/>
        <w:jc w:val="both"/>
        <w:rPr>
          <w:rFonts w:ascii="Times New Roman" w:eastAsia="Times New Roman" w:hAnsi="Times New Roman" w:cs="Times New Roman"/>
          <w:sz w:val="20"/>
          <w:szCs w:val="20"/>
        </w:rPr>
      </w:pPr>
      <w:r w:rsidRPr="000504B6">
        <w:rPr>
          <w:rFonts w:ascii="Times New Roman" w:hAnsi="Times New Roman" w:cs="Times New Roman"/>
          <w:sz w:val="20"/>
        </w:rPr>
        <w:t>Všetky snahy o medzinárodnú spoluprácu, vrátane Programu trvalo udržateľného rozvoja do roku 2030, musia zapájať osoby so zdravotným postihnutím. Zároveň musia mať formu, ktorá je im prístupná a riadiť sa týmto dohovorom. Zmluvné štáty sú povinné vypracovať rámce monitorovania s ukazovateľmi v oblasti ľudských práv, ako aj špecifické porovnávacie kritériá a úlohy pre každý takýto ukazovateľ v súlade s Cieľom trvalo udržateľného rozvoja č. 10. Akákoľvek medzinárodná spolupráca sa musí zameriavať na presadzovanie nediskriminačných právnych predpisov a politík, ktoré majú za cieľ úplné začlenenie v súlade s dohovorom, Programom trvalo udržateľného rozvoja do roku 2030 a ďalšími súvisiacimi medzinárodnými rámcami v oblasti ľudských práv.</w:t>
      </w:r>
    </w:p>
    <w:p w:rsidR="00E1270E" w:rsidRPr="000504B6" w:rsidRDefault="00E1270E">
      <w:pPr>
        <w:spacing w:before="1"/>
        <w:rPr>
          <w:rFonts w:ascii="Times New Roman" w:eastAsia="Times New Roman" w:hAnsi="Times New Roman" w:cs="Times New Roman"/>
          <w:sz w:val="29"/>
          <w:szCs w:val="29"/>
        </w:rPr>
      </w:pPr>
    </w:p>
    <w:p w:rsidR="00E1270E" w:rsidRPr="000504B6" w:rsidRDefault="008832F4">
      <w:pPr>
        <w:pStyle w:val="Nadpis1"/>
        <w:numPr>
          <w:ilvl w:val="0"/>
          <w:numId w:val="5"/>
        </w:numPr>
        <w:tabs>
          <w:tab w:val="left" w:pos="1286"/>
        </w:tabs>
        <w:ind w:left="1286" w:right="1311" w:hanging="881"/>
        <w:jc w:val="left"/>
        <w:rPr>
          <w:rFonts w:cs="Times New Roman"/>
          <w:b w:val="0"/>
          <w:bCs w:val="0"/>
        </w:rPr>
      </w:pPr>
      <w:r w:rsidRPr="000504B6">
        <w:rPr>
          <w:rFonts w:cs="Times New Roman"/>
        </w:rPr>
        <w:t>Uplatňovanie na národnej úrovni</w:t>
      </w:r>
    </w:p>
    <w:p w:rsidR="00E1270E" w:rsidRPr="000504B6" w:rsidRDefault="008832F4">
      <w:pPr>
        <w:pStyle w:val="Odsekzoznamu"/>
        <w:numPr>
          <w:ilvl w:val="0"/>
          <w:numId w:val="1"/>
        </w:numPr>
        <w:tabs>
          <w:tab w:val="left" w:pos="1855"/>
        </w:tabs>
        <w:spacing w:before="245" w:line="249" w:lineRule="auto"/>
        <w:ind w:right="1293" w:firstLine="0"/>
        <w:jc w:val="both"/>
        <w:rPr>
          <w:rFonts w:ascii="Times New Roman" w:eastAsia="Times New Roman" w:hAnsi="Times New Roman" w:cs="Times New Roman"/>
          <w:sz w:val="20"/>
          <w:szCs w:val="20"/>
        </w:rPr>
      </w:pPr>
      <w:r w:rsidRPr="000504B6">
        <w:rPr>
          <w:rFonts w:ascii="Times New Roman" w:hAnsi="Times New Roman" w:cs="Times New Roman"/>
          <w:sz w:val="20"/>
        </w:rPr>
        <w:t>Vzhľadom na vyššie uvedený normatívny obsah a povinnosti by zmluvné štáty mali urobiť nasledovné kroky, aby zaistili uplatňovanie článku 5 dohovoru v plnom rozsahu:</w:t>
      </w:r>
    </w:p>
    <w:p w:rsidR="00E1270E" w:rsidRPr="0076591C" w:rsidRDefault="008832F4" w:rsidP="0076591C">
      <w:pPr>
        <w:pStyle w:val="Odsekzoznamu"/>
        <w:numPr>
          <w:ilvl w:val="1"/>
          <w:numId w:val="1"/>
        </w:numPr>
        <w:tabs>
          <w:tab w:val="left" w:pos="2422"/>
        </w:tabs>
        <w:spacing w:before="73" w:line="249" w:lineRule="auto"/>
        <w:ind w:right="1311" w:firstLine="568"/>
        <w:jc w:val="both"/>
        <w:rPr>
          <w:rFonts w:ascii="Times New Roman" w:hAnsi="Times New Roman" w:cs="Times New Roman"/>
        </w:rPr>
      </w:pPr>
      <w:r w:rsidRPr="0076591C">
        <w:rPr>
          <w:rFonts w:ascii="Times New Roman" w:hAnsi="Times New Roman" w:cs="Times New Roman"/>
          <w:sz w:val="20"/>
        </w:rPr>
        <w:t>vykonávať štúdie o zosúlaďovaní vnútroštátnych právnych predpisov a postupov s dohovorom, zrušiť diskriminačné zákony a predpisy, ktoré nie sú v</w:t>
      </w:r>
      <w:r w:rsidR="0076591C">
        <w:rPr>
          <w:rFonts w:ascii="Times New Roman" w:hAnsi="Times New Roman" w:cs="Times New Roman"/>
          <w:sz w:val="20"/>
        </w:rPr>
        <w:t> </w:t>
      </w:r>
      <w:r w:rsidRPr="0076591C">
        <w:rPr>
          <w:rFonts w:ascii="Times New Roman" w:hAnsi="Times New Roman" w:cs="Times New Roman"/>
          <w:sz w:val="20"/>
        </w:rPr>
        <w:t>súlade</w:t>
      </w:r>
      <w:r w:rsidR="0076591C">
        <w:rPr>
          <w:rFonts w:ascii="Times New Roman" w:hAnsi="Times New Roman" w:cs="Times New Roman"/>
          <w:sz w:val="20"/>
        </w:rPr>
        <w:t xml:space="preserve"> </w:t>
      </w:r>
      <w:r w:rsidRPr="0076591C">
        <w:rPr>
          <w:rFonts w:ascii="Times New Roman" w:hAnsi="Times New Roman" w:cs="Times New Roman"/>
          <w:sz w:val="20"/>
        </w:rPr>
        <w:t>s Dohovorom a zmeniť alebo eliminovať zvyky a praktiky predstavujúce diskrimináciu osôb so zdravotným postihnutím;</w:t>
      </w:r>
    </w:p>
    <w:p w:rsidR="00E1270E" w:rsidRPr="000504B6" w:rsidRDefault="008832F4">
      <w:pPr>
        <w:pStyle w:val="Odsekzoznamu"/>
        <w:numPr>
          <w:ilvl w:val="1"/>
          <w:numId w:val="1"/>
        </w:numPr>
        <w:tabs>
          <w:tab w:val="left" w:pos="2422"/>
        </w:tabs>
        <w:spacing w:before="121" w:line="249" w:lineRule="auto"/>
        <w:ind w:right="1287" w:firstLine="568"/>
        <w:jc w:val="both"/>
        <w:rPr>
          <w:rFonts w:ascii="Times New Roman" w:eastAsia="Times New Roman" w:hAnsi="Times New Roman" w:cs="Times New Roman"/>
          <w:sz w:val="20"/>
          <w:szCs w:val="20"/>
        </w:rPr>
      </w:pPr>
      <w:r w:rsidRPr="000504B6">
        <w:rPr>
          <w:rFonts w:ascii="Times New Roman" w:hAnsi="Times New Roman" w:cs="Times New Roman"/>
          <w:sz w:val="20"/>
          <w:szCs w:val="20"/>
        </w:rPr>
        <w:t>vypracovať zákony na boj proti diskriminácii v oblastiach, kde neexistujú a prijať takéto zákony, ktoré zohľadňujú aspekt zdravotného postihnutia a majú široký osobný aj hmotný rozsah pôsobnosti s účinnými opravnými prostriedkami. Takéto zákony môžu byť účinné len v prípade, že vychádzajú z definície zdravotného postihnutia zahŕňajúcej aj osoby s dlhodobou telesnou, psychosociálnou, duševnou alebo senzorickou poruchou, vrátane minulého, súčasného, budúceho a predpokladaného zdravotného postihnutia a osôb, ktoré majú k zdravotne postihnutým určitý vzťah. Osoby, ktoré sú obeťami diskriminácie z dôvodu zdravotného postihnutia a požadujú právne odškodnenie, by nemali byť zaťažené povinnosťou preukázania, že sú „dostatočne zdravotne postihnuté“, aby mohli využívať právnu ochranu. Zákony na boj proti diskriminácii, ktoré zohľadňujú aspekt zdravotného postihnutia, by sa mali skôr zameriavať na zakázanie a prevenciu diskriminačného konania ako na konkrétne definovanú chránenú skupinu. V danej súvislosti je rozsiahla definícia zdravotného postihnutia vychádzajúca z existujúcich porúch v súlade s dohovorom;</w:t>
      </w:r>
    </w:p>
    <w:p w:rsidR="00E1270E" w:rsidRPr="000504B6" w:rsidRDefault="008832F4">
      <w:pPr>
        <w:pStyle w:val="Odsekzoznamu"/>
        <w:numPr>
          <w:ilvl w:val="1"/>
          <w:numId w:val="1"/>
        </w:numPr>
        <w:tabs>
          <w:tab w:val="left" w:pos="2422"/>
        </w:tabs>
        <w:spacing w:before="121" w:line="249" w:lineRule="auto"/>
        <w:ind w:right="1290" w:firstLine="568"/>
        <w:jc w:val="both"/>
        <w:rPr>
          <w:rFonts w:ascii="Times New Roman" w:eastAsia="Times New Roman" w:hAnsi="Times New Roman" w:cs="Times New Roman"/>
          <w:sz w:val="20"/>
          <w:szCs w:val="20"/>
        </w:rPr>
      </w:pPr>
      <w:r w:rsidRPr="000504B6">
        <w:rPr>
          <w:rFonts w:ascii="Times New Roman" w:hAnsi="Times New Roman" w:cs="Times New Roman"/>
          <w:sz w:val="20"/>
        </w:rPr>
        <w:t>zabezpečiť, aby sa pôsobnosť nediskriminačných právnych predpisov rozšírila na súkromnú a verejnú sféru s tým, že tieto predpisy budú zahŕňať najmä oblasť vzdelávania, zamestnanosti a tovaru a služieb a riešiť diskrimináciu príznačnú pre osoby so zdravotným postihnutím, ako napr. segregované vzdelávanie, inštitucionalizáciu, odmietanie alebo obmedzovanie právnej spôsobilosti, nútenú liečbu súvisiacu s duševným zdravím, odmietanie zabezpečenia výučby a odborného tlmočenia v posunkovej reči, ako aj odmietanie alternatívnych a augmentatívnych metód, prostriedkov a formátov komunikácie vrátane Braillovoho písma;</w:t>
      </w:r>
    </w:p>
    <w:p w:rsidR="00E1270E" w:rsidRPr="000504B6" w:rsidRDefault="008832F4">
      <w:pPr>
        <w:pStyle w:val="Odsekzoznamu"/>
        <w:numPr>
          <w:ilvl w:val="1"/>
          <w:numId w:val="1"/>
        </w:numPr>
        <w:tabs>
          <w:tab w:val="left" w:pos="2422"/>
        </w:tabs>
        <w:spacing w:before="121" w:line="249" w:lineRule="auto"/>
        <w:ind w:right="1287" w:firstLine="568"/>
        <w:jc w:val="both"/>
        <w:rPr>
          <w:rFonts w:ascii="Times New Roman" w:eastAsia="Times New Roman" w:hAnsi="Times New Roman" w:cs="Times New Roman"/>
          <w:sz w:val="20"/>
          <w:szCs w:val="20"/>
        </w:rPr>
      </w:pPr>
      <w:r w:rsidRPr="000504B6">
        <w:rPr>
          <w:rFonts w:ascii="Times New Roman" w:hAnsi="Times New Roman" w:cs="Times New Roman"/>
          <w:sz w:val="20"/>
        </w:rPr>
        <w:t>presadzovať úplné začlenenie do procesu obsadzovania bežne prístupných pracovných miest a poskytovania služieb odborného vzdelávania vrátane tých, ktoré podporujú podnikanie a zakladanie družstiev, ako aj iných foriem sociálneho hospodárstva;</w:t>
      </w:r>
    </w:p>
    <w:p w:rsidR="00E1270E" w:rsidRPr="000504B6" w:rsidRDefault="008832F4">
      <w:pPr>
        <w:pStyle w:val="Odsekzoznamu"/>
        <w:numPr>
          <w:ilvl w:val="1"/>
          <w:numId w:val="1"/>
        </w:numPr>
        <w:tabs>
          <w:tab w:val="left" w:pos="2422"/>
        </w:tabs>
        <w:spacing w:before="121" w:line="249" w:lineRule="auto"/>
        <w:ind w:right="1294" w:firstLine="568"/>
        <w:jc w:val="both"/>
        <w:rPr>
          <w:rFonts w:ascii="Times New Roman" w:eastAsia="Times New Roman" w:hAnsi="Times New Roman" w:cs="Times New Roman"/>
          <w:sz w:val="20"/>
          <w:szCs w:val="20"/>
        </w:rPr>
      </w:pPr>
      <w:r w:rsidRPr="000504B6">
        <w:rPr>
          <w:rFonts w:ascii="Times New Roman" w:hAnsi="Times New Roman" w:cs="Times New Roman"/>
          <w:sz w:val="20"/>
        </w:rPr>
        <w:t>zabezpečiť rovnakú úroveň ochrany osôb so zdravotným postihnutím pred diskrimináciou ako v prípade ostatných sociálnych skupín;</w:t>
      </w:r>
    </w:p>
    <w:p w:rsidR="00E1270E" w:rsidRPr="000504B6" w:rsidRDefault="008832F4">
      <w:pPr>
        <w:pStyle w:val="Odsekzoznamu"/>
        <w:numPr>
          <w:ilvl w:val="1"/>
          <w:numId w:val="1"/>
        </w:numPr>
        <w:tabs>
          <w:tab w:val="left" w:pos="2422"/>
        </w:tabs>
        <w:spacing w:before="121" w:line="249" w:lineRule="auto"/>
        <w:ind w:right="1288" w:firstLine="568"/>
        <w:jc w:val="both"/>
        <w:rPr>
          <w:rFonts w:ascii="Times New Roman" w:eastAsia="Times New Roman" w:hAnsi="Times New Roman" w:cs="Times New Roman"/>
          <w:sz w:val="20"/>
          <w:szCs w:val="20"/>
        </w:rPr>
      </w:pPr>
      <w:r w:rsidRPr="000504B6">
        <w:rPr>
          <w:rFonts w:ascii="Times New Roman" w:hAnsi="Times New Roman" w:cs="Times New Roman"/>
          <w:sz w:val="20"/>
        </w:rPr>
        <w:t>vytvárať a realizovať programy na získavanie vedomostí a schopností vrátane odbornej prípravy v rámci verejných orgánov a neformálnej ekonomiky na zaistenie dodržiavania dohovoru. Zvyšovanie informovanosti a posilňovanie schopností by sa malo rozvíjať a realizovať so zaistením zmysluplnej účasti osôb so zdravotným postihnutím a organizácií, ktoré ich rôznorodé skupiny zastupujú. Tieto činnosti sú zároveň rozhodujúcimi prvkami vytvárania kultúry tolerancie a rozmanitosti, ktorá je základný princípom právnych predpisov a politík na boj proti diskriminácii;</w:t>
      </w:r>
    </w:p>
    <w:p w:rsidR="00E1270E" w:rsidRPr="000504B6" w:rsidRDefault="008832F4">
      <w:pPr>
        <w:pStyle w:val="Odsekzoznamu"/>
        <w:numPr>
          <w:ilvl w:val="1"/>
          <w:numId w:val="1"/>
        </w:numPr>
        <w:tabs>
          <w:tab w:val="left" w:pos="2422"/>
        </w:tabs>
        <w:spacing w:before="121" w:line="249" w:lineRule="auto"/>
        <w:ind w:right="1290" w:firstLine="568"/>
        <w:jc w:val="both"/>
        <w:rPr>
          <w:rFonts w:ascii="Times New Roman" w:eastAsia="Times New Roman" w:hAnsi="Times New Roman" w:cs="Times New Roman"/>
          <w:sz w:val="20"/>
          <w:szCs w:val="20"/>
        </w:rPr>
      </w:pPr>
      <w:r w:rsidRPr="000504B6">
        <w:rPr>
          <w:rFonts w:ascii="Times New Roman" w:hAnsi="Times New Roman" w:cs="Times New Roman"/>
          <w:sz w:val="20"/>
        </w:rPr>
        <w:t>monitorovať počet vznesených nárokov vo veci diskriminácie z dôvodu zdravotného postihnutia ako podiel na celkovom počte vznesených nárokov vo veci diskriminácie, rozdelených podľa pohlavia, veku, identifikovaných prekážok a odvetvia, v ktorom sa údajná diskriminácia vyskytla, ako aj poskytnúť informácie o mimosúdne, súdne a rozhodcovsky vyriešených prípadoch, nevynímajúc počet súdnych rozhodnutí vedúcich k odškodneniu alebo sankciám;</w:t>
      </w:r>
    </w:p>
    <w:p w:rsidR="00E1270E" w:rsidRPr="000504B6" w:rsidRDefault="008832F4">
      <w:pPr>
        <w:pStyle w:val="Odsekzoznamu"/>
        <w:numPr>
          <w:ilvl w:val="1"/>
          <w:numId w:val="1"/>
        </w:numPr>
        <w:tabs>
          <w:tab w:val="left" w:pos="2422"/>
        </w:tabs>
        <w:spacing w:before="121" w:line="249" w:lineRule="auto"/>
        <w:ind w:right="1285" w:firstLine="568"/>
        <w:jc w:val="both"/>
        <w:rPr>
          <w:rFonts w:ascii="Times New Roman" w:eastAsia="Times New Roman" w:hAnsi="Times New Roman" w:cs="Times New Roman"/>
          <w:sz w:val="20"/>
          <w:szCs w:val="20"/>
        </w:rPr>
      </w:pPr>
      <w:r w:rsidRPr="000504B6">
        <w:rPr>
          <w:rFonts w:ascii="Times New Roman" w:hAnsi="Times New Roman" w:cs="Times New Roman"/>
          <w:sz w:val="20"/>
          <w:szCs w:val="20"/>
        </w:rPr>
        <w:t xml:space="preserve">zaviesť prístupné a účinné mechanizmy odškodnenia obetí diskriminácie z dôvodu zdravotného postihnutia a zabezpečiť im prístup k spravodlivosti na rovnakom základe s ostatnými. V tomto smere je nevyhnutné zaistiť prístup všetkých osôb so zdravotným postihnutím k účinným súdnym a/alebo administratívnym konaniam vrátane efektívnych a prístupných mechanizmov na podávanie sťažností, ako aj k primeranej a cenovo dostupnej profesionálnej právnej pomoci podľa potreby a v závislosti od preskúmania majetkových pomerov a preskúmania podstaty. Zmluvné štáty by mali efektívne a včas zasiahnuť v prípade, že opatrenia alebo opomenutia zo strany verejných a súkromných subjektov porušujú právo na rovnosť a nediskrimináciu jednej alebo viacerých </w:t>
      </w:r>
      <w:r w:rsidRPr="000504B6">
        <w:rPr>
          <w:rFonts w:ascii="Times New Roman" w:hAnsi="Times New Roman" w:cs="Times New Roman"/>
          <w:sz w:val="20"/>
          <w:szCs w:val="20"/>
        </w:rPr>
        <w:lastRenderedPageBreak/>
        <w:t>osôb so zdravotným postihnutím, a to v súvislosti s ich občianskymi a politickými právami, ako aj hospodárskymi, sociálnymi a kultúrnymi právami. Uznanie súdnych opravných prostriedkov kolektívnej povahy alebo skupinových žalôb môže výrazne prispieť k účinnému zaručeniu prístupu k spravodlivosti v situáciách postihujúcich skupiny osôb so zdravotným postihnutím;</w:t>
      </w:r>
    </w:p>
    <w:p w:rsidR="00E1270E" w:rsidRPr="000504B6" w:rsidRDefault="008832F4">
      <w:pPr>
        <w:pStyle w:val="Odsekzoznamu"/>
        <w:numPr>
          <w:ilvl w:val="1"/>
          <w:numId w:val="1"/>
        </w:numPr>
        <w:tabs>
          <w:tab w:val="left" w:pos="2422"/>
        </w:tabs>
        <w:spacing w:before="121" w:line="249" w:lineRule="auto"/>
        <w:ind w:right="1285" w:firstLine="568"/>
        <w:jc w:val="both"/>
        <w:rPr>
          <w:rFonts w:ascii="Times New Roman" w:eastAsia="Times New Roman" w:hAnsi="Times New Roman" w:cs="Times New Roman"/>
          <w:sz w:val="20"/>
          <w:szCs w:val="20"/>
        </w:rPr>
      </w:pPr>
      <w:r w:rsidRPr="000504B6">
        <w:rPr>
          <w:rFonts w:ascii="Times New Roman" w:hAnsi="Times New Roman" w:cs="Times New Roman"/>
          <w:sz w:val="20"/>
        </w:rPr>
        <w:t>začleniť ochranu osôb pred nepriaznivým zaobchádzaním alebo negatívnymi dôsledkami do vnútroštátnych právnych predpisov na boj proti diskriminácii ako reakciu na sťažnosti alebo konania zamerané na presadzovanie dodržiavania ustanovení o rovnosti. Právne predpisy na boj proti diskriminácii by navyše mali zabezpečiť, aby obete diskriminácie nemali neprimerané zábrany pri požadovaní odškodnenia, príp. neboli opätovne postihnuté diskrimináciou. Najmä procesnými pravidlami je potrebné zaistiť presun dôkazného bremena v občianskoprávnom konaní z navrhovateľa na odporcu, ak existujú skutočnosti, z ktorých možno predpokladať, že došlo k diskriminácii;</w:t>
      </w:r>
    </w:p>
    <w:p w:rsidR="00E1270E" w:rsidRPr="000504B6" w:rsidRDefault="008832F4">
      <w:pPr>
        <w:pStyle w:val="Odsekzoznamu"/>
        <w:numPr>
          <w:ilvl w:val="1"/>
          <w:numId w:val="1"/>
        </w:numPr>
        <w:tabs>
          <w:tab w:val="left" w:pos="2422"/>
        </w:tabs>
        <w:spacing w:before="73" w:line="249" w:lineRule="auto"/>
        <w:ind w:right="1287" w:firstLine="568"/>
        <w:jc w:val="both"/>
        <w:rPr>
          <w:rFonts w:ascii="Times New Roman" w:eastAsia="Times New Roman" w:hAnsi="Times New Roman" w:cs="Times New Roman"/>
          <w:sz w:val="20"/>
          <w:szCs w:val="20"/>
        </w:rPr>
      </w:pPr>
      <w:r w:rsidRPr="000504B6">
        <w:rPr>
          <w:rFonts w:ascii="Times New Roman" w:hAnsi="Times New Roman" w:cs="Times New Roman"/>
          <w:sz w:val="20"/>
        </w:rPr>
        <w:t>budovať a zakladať v úzkej spolupráci so zastupiteľskými organizáciami osôb so zdravotným postihnutím, vnútroštátne inštitúcie pre ľudské práva a iné príslušné zainteresované subjekty a dokumenty, ako napr. orgány, politiky a stratégie na podporu rovnosti, ktoré zahŕňajú všetky osoby so zdravotným postihnutím a sú im prístupné;</w:t>
      </w:r>
    </w:p>
    <w:p w:rsidR="00E1270E" w:rsidRPr="000504B6" w:rsidRDefault="008832F4">
      <w:pPr>
        <w:pStyle w:val="Odsekzoznamu"/>
        <w:numPr>
          <w:ilvl w:val="1"/>
          <w:numId w:val="1"/>
        </w:numPr>
        <w:tabs>
          <w:tab w:val="left" w:pos="2422"/>
        </w:tabs>
        <w:spacing w:before="121" w:line="249" w:lineRule="auto"/>
        <w:ind w:right="1287" w:firstLine="568"/>
        <w:jc w:val="both"/>
        <w:rPr>
          <w:rFonts w:ascii="Times New Roman" w:eastAsia="Times New Roman" w:hAnsi="Times New Roman" w:cs="Times New Roman"/>
          <w:sz w:val="20"/>
          <w:szCs w:val="20"/>
        </w:rPr>
      </w:pPr>
      <w:r w:rsidRPr="000504B6">
        <w:rPr>
          <w:rFonts w:ascii="Times New Roman" w:hAnsi="Times New Roman" w:cs="Times New Roman"/>
          <w:sz w:val="20"/>
        </w:rPr>
        <w:t>zvýšiť povedomie osôb vo všetkých častiach spoločnosti vrátane štátnych úradníkov vo všetkých sférach vlády a súkromného sektora, a to konkrétne o rozsahu, obsahu a praktických dôsledkoch práv na nediskrimináciu a rovnosť všetkých osôb so zdravotným postihnutím;</w:t>
      </w:r>
    </w:p>
    <w:p w:rsidR="00E1270E" w:rsidRPr="000504B6" w:rsidRDefault="008832F4">
      <w:pPr>
        <w:pStyle w:val="Odsekzoznamu"/>
        <w:numPr>
          <w:ilvl w:val="1"/>
          <w:numId w:val="1"/>
        </w:numPr>
        <w:tabs>
          <w:tab w:val="left" w:pos="2422"/>
        </w:tabs>
        <w:spacing w:before="121" w:line="249" w:lineRule="auto"/>
        <w:ind w:right="1294" w:firstLine="568"/>
        <w:jc w:val="both"/>
        <w:rPr>
          <w:rFonts w:ascii="Times New Roman" w:eastAsia="Times New Roman" w:hAnsi="Times New Roman" w:cs="Times New Roman"/>
          <w:sz w:val="20"/>
          <w:szCs w:val="20"/>
        </w:rPr>
      </w:pPr>
      <w:r w:rsidRPr="000504B6">
        <w:rPr>
          <w:rFonts w:ascii="Times New Roman" w:hAnsi="Times New Roman" w:cs="Times New Roman"/>
          <w:sz w:val="20"/>
        </w:rPr>
        <w:t>prijať vhodné opatrenia na pravidelné a komplexné monitorovanie inkluzívnej rovnosti, čo si vyžaduje zhromažďovanie a analýzu rozčlenených údajov o danej situácii osôb so zdravotným postihnutím;</w:t>
      </w:r>
    </w:p>
    <w:p w:rsidR="00E1270E" w:rsidRPr="000504B6" w:rsidRDefault="008832F4">
      <w:pPr>
        <w:pStyle w:val="Odsekzoznamu"/>
        <w:numPr>
          <w:ilvl w:val="1"/>
          <w:numId w:val="1"/>
        </w:numPr>
        <w:tabs>
          <w:tab w:val="left" w:pos="2422"/>
        </w:tabs>
        <w:spacing w:before="121" w:line="249" w:lineRule="auto"/>
        <w:ind w:right="1292" w:firstLine="568"/>
        <w:jc w:val="both"/>
        <w:rPr>
          <w:rFonts w:ascii="Times New Roman" w:eastAsia="Times New Roman" w:hAnsi="Times New Roman" w:cs="Times New Roman"/>
          <w:sz w:val="20"/>
          <w:szCs w:val="20"/>
        </w:rPr>
      </w:pPr>
      <w:r w:rsidRPr="000504B6">
        <w:rPr>
          <w:rFonts w:ascii="Times New Roman" w:hAnsi="Times New Roman" w:cs="Times New Roman"/>
          <w:sz w:val="20"/>
        </w:rPr>
        <w:t>zabezpečiť nezávislosť vnútroštátnych monitorovacích mechanizmov podľa článku 33 Dohovoru, ktoré účinne zapájajú zastupiteľské organizácie osôb so zdravotným postihnutím a majú primerané zdroje na riešenie diskriminácie takýchto osôb;</w:t>
      </w:r>
    </w:p>
    <w:p w:rsidR="00E1270E" w:rsidRPr="000504B6" w:rsidRDefault="008832F4">
      <w:pPr>
        <w:pStyle w:val="Odsekzoznamu"/>
        <w:numPr>
          <w:ilvl w:val="1"/>
          <w:numId w:val="1"/>
        </w:numPr>
        <w:tabs>
          <w:tab w:val="left" w:pos="2422"/>
        </w:tabs>
        <w:spacing w:before="121" w:line="249" w:lineRule="auto"/>
        <w:ind w:right="1292" w:firstLine="568"/>
        <w:jc w:val="both"/>
        <w:rPr>
          <w:rFonts w:ascii="Times New Roman" w:eastAsia="Times New Roman" w:hAnsi="Times New Roman" w:cs="Times New Roman"/>
          <w:sz w:val="20"/>
          <w:szCs w:val="20"/>
        </w:rPr>
      </w:pPr>
      <w:r w:rsidRPr="000504B6">
        <w:rPr>
          <w:rFonts w:ascii="Times New Roman" w:hAnsi="Times New Roman" w:cs="Times New Roman"/>
          <w:sz w:val="20"/>
        </w:rPr>
        <w:t>zaistiť osobitnú ochranu a náležitú starostlivosť na prevenciu a nápravu prípadov násilia, vykorisťovania a zneužívania, ako aj prípadov porušovania telesnej integrity, s ktorými sa špecificky a neúmerne stretávajú osoby so zdravotným postihnutím;</w:t>
      </w:r>
    </w:p>
    <w:p w:rsidR="00E1270E" w:rsidRPr="000504B6" w:rsidRDefault="008832F4">
      <w:pPr>
        <w:pStyle w:val="Odsekzoznamu"/>
        <w:numPr>
          <w:ilvl w:val="1"/>
          <w:numId w:val="1"/>
        </w:numPr>
        <w:tabs>
          <w:tab w:val="left" w:pos="2422"/>
        </w:tabs>
        <w:spacing w:before="121" w:line="249" w:lineRule="auto"/>
        <w:ind w:right="1291" w:firstLine="568"/>
        <w:jc w:val="both"/>
        <w:rPr>
          <w:rFonts w:ascii="Times New Roman" w:eastAsia="Times New Roman" w:hAnsi="Times New Roman" w:cs="Times New Roman"/>
          <w:sz w:val="20"/>
          <w:szCs w:val="20"/>
        </w:rPr>
      </w:pPr>
      <w:r w:rsidRPr="000504B6">
        <w:rPr>
          <w:rFonts w:ascii="Times New Roman" w:hAnsi="Times New Roman" w:cs="Times New Roman"/>
          <w:sz w:val="20"/>
        </w:rPr>
        <w:t>prijať konkrétne opatrenia v záujme dosiahnutia inkluzívnej rovnosti, a to najmä tých osôb so zdravotným postihnutím, ktoré zažívajú prierezovú diskrimináciu, ako napr. ženy, dievčatá, deti, staršie osoby a pôvodné obyvateľstvo so zdravotným postihnutím;</w:t>
      </w:r>
    </w:p>
    <w:p w:rsidR="00E1270E" w:rsidRPr="000504B6" w:rsidRDefault="008832F4">
      <w:pPr>
        <w:pStyle w:val="Odsekzoznamu"/>
        <w:numPr>
          <w:ilvl w:val="1"/>
          <w:numId w:val="1"/>
        </w:numPr>
        <w:tabs>
          <w:tab w:val="left" w:pos="2422"/>
        </w:tabs>
        <w:spacing w:before="121" w:line="249" w:lineRule="auto"/>
        <w:ind w:right="1287" w:firstLine="568"/>
        <w:jc w:val="both"/>
        <w:rPr>
          <w:rFonts w:ascii="Times New Roman" w:eastAsia="Times New Roman" w:hAnsi="Times New Roman" w:cs="Times New Roman"/>
          <w:sz w:val="20"/>
          <w:szCs w:val="20"/>
        </w:rPr>
      </w:pPr>
      <w:r w:rsidRPr="000504B6">
        <w:rPr>
          <w:rFonts w:ascii="Times New Roman" w:hAnsi="Times New Roman" w:cs="Times New Roman"/>
          <w:sz w:val="20"/>
        </w:rPr>
        <w:t>zmluvné štáty, ktoré prijímajú vysoký počet žiadateľov o azyl, utečencov alebo migrantov, by mali zaviesť formálne a právne definované postupy na umožnenie prístupu osôb so zdravotným postihnutím (vrátane žien a detí so zdravotným postihnutím a osôb s psychosociálnym a mentálnym postihnutím) k prijímacím a iným zariadeniam. Zmluvné štáty sú povinné osobám so zdravotným postihnutím zabezpečiť poskytovanie psychosociálneho a právneho poradenstva, podpory a rehabilitácie, ako aj služieb ochrany, ktoré sú primerané danému zdravotnému postihnutiu, veku, rodovému aspektu i kultúre.</w:t>
      </w:r>
    </w:p>
    <w:p w:rsidR="00E1270E" w:rsidRPr="000504B6" w:rsidRDefault="00E1270E">
      <w:pPr>
        <w:rPr>
          <w:rFonts w:ascii="Times New Roman" w:eastAsia="Times New Roman" w:hAnsi="Times New Roman" w:cs="Times New Roman"/>
          <w:sz w:val="20"/>
          <w:szCs w:val="20"/>
        </w:rPr>
      </w:pPr>
    </w:p>
    <w:p w:rsidR="00E1270E" w:rsidRPr="000504B6" w:rsidRDefault="00E1270E">
      <w:pPr>
        <w:spacing w:before="1"/>
        <w:rPr>
          <w:rFonts w:ascii="Times New Roman" w:eastAsia="Times New Roman" w:hAnsi="Times New Roman" w:cs="Times New Roman"/>
          <w:sz w:val="19"/>
          <w:szCs w:val="19"/>
        </w:rPr>
      </w:pPr>
    </w:p>
    <w:p w:rsidR="00E1270E" w:rsidRPr="000504B6" w:rsidRDefault="0032000C">
      <w:pPr>
        <w:spacing w:line="20" w:lineRule="exact"/>
        <w:ind w:left="4116"/>
        <w:rPr>
          <w:rFonts w:ascii="Times New Roman" w:eastAsia="Times New Roman" w:hAnsi="Times New Roman" w:cs="Times New Roman"/>
          <w:sz w:val="2"/>
          <w:szCs w:val="2"/>
        </w:rPr>
      </w:pPr>
      <w:r>
        <w:rPr>
          <w:rFonts w:ascii="Times New Roman" w:hAnsi="Times New Roman" w:cs="Times New Roman"/>
          <w:noProof/>
          <w:sz w:val="2"/>
          <w:szCs w:val="2"/>
          <w:lang w:eastAsia="sk-SK"/>
        </w:rPr>
        <mc:AlternateContent>
          <mc:Choice Requires="wpg">
            <w:drawing>
              <wp:inline distT="0" distB="0" distL="0" distR="0">
                <wp:extent cx="1087120" cy="6350"/>
                <wp:effectExtent l="9525" t="9525" r="8255" b="3175"/>
                <wp:docPr id="9"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87120" cy="6350"/>
                          <a:chOff x="0" y="0"/>
                          <a:chExt cx="1712" cy="10"/>
                        </a:xfrm>
                      </wpg:grpSpPr>
                      <wpg:grpSp>
                        <wpg:cNvPr id="10" name="Group 3"/>
                        <wpg:cNvGrpSpPr>
                          <a:grpSpLocks/>
                        </wpg:cNvGrpSpPr>
                        <wpg:grpSpPr bwMode="auto">
                          <a:xfrm>
                            <a:off x="5" y="5"/>
                            <a:ext cx="1703" cy="2"/>
                            <a:chOff x="5" y="5"/>
                            <a:chExt cx="1703" cy="2"/>
                          </a:xfrm>
                        </wpg:grpSpPr>
                        <wps:wsp>
                          <wps:cNvPr id="11" name="Freeform 4"/>
                          <wps:cNvSpPr>
                            <a:spLocks/>
                          </wps:cNvSpPr>
                          <wps:spPr bwMode="auto">
                            <a:xfrm>
                              <a:off x="5" y="5"/>
                              <a:ext cx="1703" cy="2"/>
                            </a:xfrm>
                            <a:custGeom>
                              <a:avLst/>
                              <a:gdLst>
                                <a:gd name="T0" fmla="+- 0 5 5"/>
                                <a:gd name="T1" fmla="*/ T0 w 1703"/>
                                <a:gd name="T2" fmla="+- 0 1707 5"/>
                                <a:gd name="T3" fmla="*/ T2 w 1703"/>
                              </a:gdLst>
                              <a:ahLst/>
                              <a:cxnLst>
                                <a:cxn ang="0">
                                  <a:pos x="T1" y="0"/>
                                </a:cxn>
                                <a:cxn ang="0">
                                  <a:pos x="T3" y="0"/>
                                </a:cxn>
                              </a:cxnLst>
                              <a:rect l="0" t="0" r="r" b="b"/>
                              <a:pathLst>
                                <a:path w="1703">
                                  <a:moveTo>
                                    <a:pt x="0" y="0"/>
                                  </a:moveTo>
                                  <a:lnTo>
                                    <a:pt x="1702"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id="Group 2" o:spid="_x0000_s1026" style="width:85.6pt;height:.5pt;mso-position-horizontal-relative:char;mso-position-vertical-relative:line" coordsize="171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">
                <v:group id="Group 3" o:spid="_x0000_s1027" style="position:absolute;left:5;top:5;width:1703;height:2" coordorigin="5,5" coordsize="170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Freeform 4" o:spid="_x0000_s1028" style="position:absolute;left:5;top:5;width:1703;height:2;visibility:visible;mso-wrap-style:square;v-text-anchor:top" coordsize="17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UnsIA&#10;AADbAAAADwAAAGRycy9kb3ducmV2LnhtbERPS2vCQBC+C/0PyxR6kWajB5HUjUihUCg91Adex+yY&#10;BLOzaXYaU3+9Kwje5uN7zmI5uEb11IXas4FJkoIiLrytuTSw3Xy8zkEFQbbYeCYD/xRgmT+NFphZ&#10;f+Yf6tdSqhjCIUMDlUibaR2KihyGxLfEkTv6zqFE2JXadniO4a7R0zSdaYc1x4YKW3qvqDit/5wB&#10;2Za/4ofpfOb3/LX/Hh8vu0NvzMvzsHoDJTTIQ3x3f9o4fwK3X+IBOr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39SewgAAANsAAAAPAAAAAAAAAAAAAAAAAJgCAABkcnMvZG93&#10;bnJldi54bWxQSwUGAAAAAAQABAD1AAAAhwMAAAAA&#10;" path="m,l1702,e" filled="f" strokeweight=".48pt">
                    <v:path arrowok="t" o:connecttype="custom" o:connectlocs="0,0;1702,0" o:connectangles="0,0"/>
                  </v:shape>
                </v:group>
                <w10:anchorlock/>
              </v:group>
            </w:pict>
          </mc:Fallback>
        </mc:AlternateContent>
      </w:r>
    </w:p>
    <w:sectPr w:rsidR="00E1270E" w:rsidRPr="000504B6">
      <w:pgSz w:w="11910" w:h="16850"/>
      <w:pgMar w:top="1140" w:right="980" w:bottom="740" w:left="980" w:header="875" w:footer="55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0488" w:rsidRDefault="00B30488">
      <w:r>
        <w:separator/>
      </w:r>
    </w:p>
  </w:endnote>
  <w:endnote w:type="continuationSeparator" w:id="0">
    <w:p w:rsidR="00B30488" w:rsidRDefault="00B304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270E" w:rsidRDefault="0032000C">
    <w:pPr>
      <w:spacing w:line="14" w:lineRule="auto"/>
      <w:rPr>
        <w:sz w:val="20"/>
        <w:szCs w:val="20"/>
      </w:rPr>
    </w:pPr>
    <w:r>
      <w:rPr>
        <w:noProof/>
        <w:lang w:eastAsia="sk-SK"/>
      </w:rPr>
      <mc:AlternateContent>
        <mc:Choice Requires="wps">
          <w:drawing>
            <wp:anchor distT="0" distB="0" distL="114300" distR="114300" simplePos="0" relativeHeight="503304104" behindDoc="1" locked="0" layoutInCell="1" allowOverlap="1">
              <wp:simplePos x="0" y="0"/>
              <wp:positionH relativeFrom="page">
                <wp:posOffset>694055</wp:posOffset>
              </wp:positionH>
              <wp:positionV relativeFrom="page">
                <wp:posOffset>10205085</wp:posOffset>
              </wp:positionV>
              <wp:extent cx="167005" cy="139700"/>
              <wp:effectExtent l="0" t="381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00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1270E" w:rsidRDefault="008832F4">
                          <w:pPr>
                            <w:spacing w:line="204" w:lineRule="exact"/>
                            <w:ind w:left="40"/>
                            <w:rPr>
                              <w:rFonts w:ascii="Times New Roman" w:eastAsia="Times New Roman" w:hAnsi="Times New Roman" w:cs="Times New Roman"/>
                              <w:sz w:val="18"/>
                              <w:szCs w:val="18"/>
                            </w:rPr>
                          </w:pPr>
                          <w:r>
                            <w:fldChar w:fldCharType="begin"/>
                          </w:r>
                          <w:r>
                            <w:rPr>
                              <w:rFonts w:ascii="Times New Roman"/>
                              <w:b/>
                              <w:sz w:val="18"/>
                            </w:rPr>
                            <w:instrText xml:space="preserve"> PAGE </w:instrText>
                          </w:r>
                          <w:r>
                            <w:fldChar w:fldCharType="separate"/>
                          </w:r>
                          <w:r w:rsidR="0032000C">
                            <w:rPr>
                              <w:rFonts w:ascii="Times New Roman"/>
                              <w:b/>
                              <w:noProof/>
                              <w:sz w:val="18"/>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8" type="#_x0000_t202" style="position:absolute;margin-left:54.65pt;margin-top:803.55pt;width:13.15pt;height:11pt;z-index:-12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" filled="f" stroked="f">
              <v:textbox inset="0,0,0,0">
                <w:txbxContent>
                  <w:p w:rsidR="00E1270E" w:rsidRDefault="008832F4">
                    <w:pPr>
                      <w:spacing w:line="204" w:lineRule="exact"/>
                      <w:ind w:left="40"/>
                      <w:rPr>
                        <w:rFonts w:ascii="Times New Roman" w:eastAsia="Times New Roman" w:hAnsi="Times New Roman" w:cs="Times New Roman"/>
                        <w:sz w:val="18"/>
                        <w:szCs w:val="18"/>
                      </w:rPr>
                    </w:pPr>
                    <w:r>
                      <w:fldChar w:fldCharType="begin"/>
                    </w:r>
                    <w:r>
                      <w:rPr>
                        <w:rFonts w:ascii="Times New Roman"/>
                        <w:b/>
                        <w:sz w:val="18"/>
                      </w:rPr>
                      <w:instrText xml:space="preserve"> PAGE </w:instrText>
                    </w:r>
                    <w:r>
                      <w:fldChar w:fldCharType="separate"/>
                    </w:r>
                    <w:r w:rsidR="0032000C">
                      <w:rPr>
                        <w:rFonts w:ascii="Times New Roman"/>
                        <w:b/>
                        <w:noProof/>
                        <w:sz w:val="18"/>
                      </w:rPr>
                      <w:t>2</w:t>
                    </w:r>
                    <w: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270E" w:rsidRDefault="0032000C">
    <w:pPr>
      <w:spacing w:line="14" w:lineRule="auto"/>
      <w:rPr>
        <w:sz w:val="20"/>
        <w:szCs w:val="20"/>
      </w:rPr>
    </w:pPr>
    <w:r>
      <w:rPr>
        <w:noProof/>
        <w:lang w:eastAsia="sk-SK"/>
      </w:rPr>
      <mc:AlternateContent>
        <mc:Choice Requires="wps">
          <w:drawing>
            <wp:anchor distT="0" distB="0" distL="114300" distR="114300" simplePos="0" relativeHeight="503304128" behindDoc="1" locked="0" layoutInCell="1" allowOverlap="1">
              <wp:simplePos x="0" y="0"/>
              <wp:positionH relativeFrom="page">
                <wp:posOffset>6675120</wp:posOffset>
              </wp:positionH>
              <wp:positionV relativeFrom="page">
                <wp:posOffset>10205085</wp:posOffset>
              </wp:positionV>
              <wp:extent cx="167005" cy="139700"/>
              <wp:effectExtent l="0" t="381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00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1270E" w:rsidRDefault="008832F4">
                          <w:pPr>
                            <w:spacing w:line="204" w:lineRule="exact"/>
                            <w:ind w:left="40"/>
                            <w:rPr>
                              <w:rFonts w:ascii="Times New Roman" w:eastAsia="Times New Roman" w:hAnsi="Times New Roman" w:cs="Times New Roman"/>
                              <w:sz w:val="18"/>
                              <w:szCs w:val="18"/>
                            </w:rPr>
                          </w:pPr>
                          <w:r>
                            <w:fldChar w:fldCharType="begin"/>
                          </w:r>
                          <w:r>
                            <w:rPr>
                              <w:rFonts w:ascii="Times New Roman"/>
                              <w:b/>
                              <w:sz w:val="18"/>
                            </w:rPr>
                            <w:instrText xml:space="preserve"> PAGE </w:instrText>
                          </w:r>
                          <w:r>
                            <w:fldChar w:fldCharType="separate"/>
                          </w:r>
                          <w:r w:rsidR="0032000C">
                            <w:rPr>
                              <w:rFonts w:ascii="Times New Roman"/>
                              <w:b/>
                              <w:noProof/>
                              <w:sz w:val="18"/>
                            </w:rPr>
                            <w:t>19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9" type="#_x0000_t202" style="position:absolute;margin-left:525.6pt;margin-top:803.55pt;width:13.15pt;height:11pt;z-index:-12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" filled="f" stroked="f">
              <v:textbox inset="0,0,0,0">
                <w:txbxContent>
                  <w:p w:rsidR="00E1270E" w:rsidRDefault="008832F4">
                    <w:pPr>
                      <w:spacing w:line="204" w:lineRule="exact"/>
                      <w:ind w:left="40"/>
                      <w:rPr>
                        <w:rFonts w:ascii="Times New Roman" w:eastAsia="Times New Roman" w:hAnsi="Times New Roman" w:cs="Times New Roman"/>
                        <w:sz w:val="18"/>
                        <w:szCs w:val="18"/>
                      </w:rPr>
                    </w:pPr>
                    <w:r>
                      <w:fldChar w:fldCharType="begin"/>
                    </w:r>
                    <w:r>
                      <w:rPr>
                        <w:rFonts w:ascii="Times New Roman"/>
                        <w:b/>
                        <w:sz w:val="18"/>
                      </w:rPr>
                      <w:instrText xml:space="preserve"> PAGE </w:instrText>
                    </w:r>
                    <w:r>
                      <w:fldChar w:fldCharType="separate"/>
                    </w:r>
                    <w:r w:rsidR="0032000C">
                      <w:rPr>
                        <w:rFonts w:ascii="Times New Roman"/>
                        <w:b/>
                        <w:noProof/>
                        <w:sz w:val="18"/>
                      </w:rPr>
                      <w:t>19</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0488" w:rsidRDefault="00B30488">
      <w:r>
        <w:separator/>
      </w:r>
    </w:p>
  </w:footnote>
  <w:footnote w:type="continuationSeparator" w:id="0">
    <w:p w:rsidR="00B30488" w:rsidRDefault="00B30488">
      <w:r>
        <w:continuationSeparator/>
      </w:r>
    </w:p>
  </w:footnote>
  <w:footnote w:id="1">
    <w:p w:rsidR="000504B6" w:rsidRDefault="000504B6" w:rsidP="0076591C">
      <w:pPr>
        <w:pStyle w:val="Textpoznmkypodiarou"/>
        <w:ind w:right="1161"/>
      </w:pPr>
      <w:r>
        <w:rPr>
          <w:rStyle w:val="Odkaznapoznmkupodiarou"/>
        </w:rPr>
        <w:footnoteRef/>
      </w:r>
      <w:r>
        <w:t xml:space="preserve"> </w:t>
      </w:r>
      <w:r w:rsidRPr="000504B6">
        <w:rPr>
          <w:rFonts w:ascii="Times New Roman" w:hAnsi="Times New Roman" w:cs="Times New Roman"/>
          <w:sz w:val="18"/>
        </w:rPr>
        <w:t>Medzinárodný dohovor o odstránení všetkých foriem rasovej diskriminácie, Dohovor o odstránení všetkých foriem diskriminácie žien, Dohovor proti mučeniu a inému krutému, neľudskému alebo ponižujúcemu zaobchádzaniu alebo trestaniu, Dohovor o právach dieťaťa, Medzinárodný dohovor o ochrane práv všetkých migrujúcich pracovníkov a členov ich rodín a Medzinárodný dohovor o ochrane všetkých osôb pred nedobrovoľným zmiznutím.</w:t>
      </w:r>
    </w:p>
  </w:footnote>
  <w:footnote w:id="2">
    <w:p w:rsidR="000504B6" w:rsidRDefault="000504B6">
      <w:pPr>
        <w:pStyle w:val="Textpoznmkypodiarou"/>
      </w:pPr>
      <w:r>
        <w:rPr>
          <w:rStyle w:val="Odkaznapoznmkupodiarou"/>
        </w:rPr>
        <w:footnoteRef/>
      </w:r>
      <w:r>
        <w:t xml:space="preserve"> </w:t>
      </w:r>
      <w:r w:rsidRPr="000504B6">
        <w:rPr>
          <w:rFonts w:ascii="Times New Roman" w:hAnsi="Times New Roman" w:cs="Times New Roman"/>
          <w:sz w:val="18"/>
        </w:rPr>
        <w:t>Pozri ods. 10 Všeobecného komentára č. 20 (2009) o nediskriminácii v oblasti hospodárskych, sociálnych a kultúrnych práv Výboru pre hospodárske, sociálne a kultúrne práva</w:t>
      </w:r>
    </w:p>
  </w:footnote>
  <w:footnote w:id="3">
    <w:p w:rsidR="000504B6" w:rsidRDefault="000504B6">
      <w:pPr>
        <w:pStyle w:val="Textpoznmkypodiarou"/>
      </w:pPr>
      <w:r>
        <w:rPr>
          <w:rStyle w:val="Odkaznapoznmkupodiarou"/>
        </w:rPr>
        <w:footnoteRef/>
      </w:r>
      <w:r>
        <w:t xml:space="preserve"> </w:t>
      </w:r>
      <w:r w:rsidRPr="000504B6">
        <w:rPr>
          <w:rFonts w:ascii="Times New Roman" w:hAnsi="Times New Roman" w:cs="Times New Roman"/>
          <w:sz w:val="18"/>
        </w:rPr>
        <w:t>Ibidem</w:t>
      </w:r>
    </w:p>
  </w:footnote>
  <w:footnote w:id="4">
    <w:p w:rsidR="000504B6" w:rsidRDefault="000504B6">
      <w:pPr>
        <w:pStyle w:val="Textpoznmkypodiarou"/>
      </w:pPr>
      <w:r>
        <w:rPr>
          <w:rStyle w:val="Odkaznapoznmkupodiarou"/>
        </w:rPr>
        <w:footnoteRef/>
      </w:r>
      <w:r>
        <w:t xml:space="preserve"> </w:t>
      </w:r>
      <w:r w:rsidRPr="000504B6">
        <w:rPr>
          <w:rFonts w:ascii="Times New Roman" w:hAnsi="Times New Roman" w:cs="Times New Roman"/>
          <w:sz w:val="18"/>
        </w:rPr>
        <w:t>Pozri ods. 4 písm. c) a ods. 16 Všeobecného komentára č. 3 (2016) o ženách a dievčatách so zdravotným postihnutím Výboru pre práva osôb so zdravotným postihnutím</w:t>
      </w:r>
    </w:p>
  </w:footnote>
  <w:footnote w:id="5">
    <w:p w:rsidR="000504B6" w:rsidRDefault="000504B6">
      <w:pPr>
        <w:pStyle w:val="Textpoznmkypodiarou"/>
      </w:pPr>
      <w:r>
        <w:rPr>
          <w:rStyle w:val="Odkaznapoznmkupodiarou"/>
        </w:rPr>
        <w:footnoteRef/>
      </w:r>
      <w:r>
        <w:t xml:space="preserve"> </w:t>
      </w:r>
      <w:r w:rsidRPr="000504B6">
        <w:rPr>
          <w:rFonts w:ascii="Times New Roman" w:hAnsi="Times New Roman" w:cs="Times New Roman"/>
          <w:sz w:val="18"/>
        </w:rPr>
        <w:t>Pozri ods. 15 Všeobecného komentára č. 5 (1994) o osobách so zdravotným postihnutím Výboru pre hospodárske, sociálne a kultúrne práva</w:t>
      </w:r>
    </w:p>
  </w:footnote>
  <w:footnote w:id="6">
    <w:p w:rsidR="000504B6" w:rsidRDefault="000504B6">
      <w:pPr>
        <w:pStyle w:val="Textpoznmkypodiarou"/>
      </w:pPr>
      <w:r>
        <w:rPr>
          <w:rStyle w:val="Odkaznapoznmkupodiarou"/>
        </w:rPr>
        <w:footnoteRef/>
      </w:r>
      <w:r>
        <w:t xml:space="preserve"> </w:t>
      </w:r>
      <w:r w:rsidRPr="000504B6">
        <w:rPr>
          <w:rFonts w:ascii="Times New Roman" w:hAnsi="Times New Roman" w:cs="Times New Roman"/>
          <w:sz w:val="18"/>
        </w:rPr>
        <w:t>Pozri Všeobecný komentár č. 1 (2014) o rovnosti pred zákonom Výboru pre práva osôb so zdravotným postihnutím</w:t>
      </w:r>
    </w:p>
  </w:footnote>
  <w:footnote w:id="7">
    <w:p w:rsidR="00310E2A" w:rsidRDefault="00310E2A">
      <w:pPr>
        <w:pStyle w:val="Textpoznmkypodiarou"/>
      </w:pPr>
      <w:r>
        <w:rPr>
          <w:rStyle w:val="Odkaznapoznmkupodiarou"/>
        </w:rPr>
        <w:footnoteRef/>
      </w:r>
      <w:r>
        <w:t xml:space="preserve"> </w:t>
      </w:r>
      <w:r w:rsidRPr="000504B6">
        <w:rPr>
          <w:rFonts w:ascii="Times New Roman" w:hAnsi="Times New Roman" w:cs="Times New Roman"/>
          <w:sz w:val="18"/>
          <w:szCs w:val="18"/>
        </w:rPr>
        <w:t xml:space="preserve">Pozri usmernenia k článku 14 ods. 6 a 14 Výboru pre práva osôb so zdravotným postihnutím; k dispozícii na </w:t>
      </w:r>
      <w:hyperlink r:id="rId1">
        <w:r w:rsidRPr="000504B6">
          <w:rPr>
            <w:rFonts w:ascii="Times New Roman" w:hAnsi="Times New Roman" w:cs="Times New Roman"/>
            <w:sz w:val="18"/>
            <w:szCs w:val="18"/>
          </w:rPr>
          <w:t>webovej stránke výboru (www.ohchr.org/EN/HRBodies/CRPD/</w:t>
        </w:r>
      </w:hyperlink>
      <w:r w:rsidRPr="000504B6">
        <w:rPr>
          <w:rFonts w:ascii="Times New Roman" w:hAnsi="Times New Roman" w:cs="Times New Roman"/>
          <w:sz w:val="18"/>
          <w:szCs w:val="18"/>
        </w:rPr>
        <w:t xml:space="preserve"> Pages/CRPDIndex.aspx)</w:t>
      </w:r>
    </w:p>
  </w:footnote>
  <w:footnote w:id="8">
    <w:p w:rsidR="00310E2A" w:rsidRDefault="00310E2A">
      <w:pPr>
        <w:pStyle w:val="Textpoznmkypodiarou"/>
      </w:pPr>
      <w:r>
        <w:rPr>
          <w:rStyle w:val="Odkaznapoznmkupodiarou"/>
        </w:rPr>
        <w:footnoteRef/>
      </w:r>
      <w:r>
        <w:t xml:space="preserve"> </w:t>
      </w:r>
      <w:r w:rsidRPr="000504B6">
        <w:rPr>
          <w:rFonts w:ascii="Times New Roman" w:hAnsi="Times New Roman" w:cs="Times New Roman"/>
          <w:sz w:val="18"/>
        </w:rPr>
        <w:t>Pozri napr. ods. 46 Všeobecného komentára č. 5 (2017) k nezávislému spôsobu života a začleneniu do spoločnosti</w:t>
      </w:r>
    </w:p>
  </w:footnote>
  <w:footnote w:id="9">
    <w:p w:rsidR="00310E2A" w:rsidRDefault="00310E2A">
      <w:pPr>
        <w:pStyle w:val="Textpoznmkypodiarou"/>
      </w:pPr>
      <w:r>
        <w:rPr>
          <w:rStyle w:val="Odkaznapoznmkupodiarou"/>
        </w:rPr>
        <w:footnoteRef/>
      </w:r>
      <w:r>
        <w:t xml:space="preserve"> </w:t>
      </w:r>
      <w:r w:rsidRPr="000504B6">
        <w:rPr>
          <w:rFonts w:ascii="Times New Roman" w:hAnsi="Times New Roman" w:cs="Times New Roman"/>
          <w:sz w:val="18"/>
        </w:rPr>
        <w:t>Pozri ods. 24 Všeobecného komentára č. 4 (2016) o práve na inkluzívne vzdelávanie</w:t>
      </w:r>
    </w:p>
  </w:footnote>
  <w:footnote w:id="10">
    <w:p w:rsidR="00310E2A" w:rsidRDefault="00310E2A">
      <w:pPr>
        <w:pStyle w:val="Textpoznmkypodiarou"/>
      </w:pPr>
      <w:r>
        <w:rPr>
          <w:rStyle w:val="Odkaznapoznmkupodiarou"/>
        </w:rPr>
        <w:footnoteRef/>
      </w:r>
      <w:r>
        <w:t xml:space="preserve"> </w:t>
      </w:r>
      <w:r w:rsidRPr="000504B6">
        <w:rPr>
          <w:rFonts w:ascii="Times New Roman" w:hAnsi="Times New Roman" w:cs="Times New Roman"/>
          <w:sz w:val="18"/>
        </w:rPr>
        <w:t xml:space="preserve">Pozri prípad </w:t>
      </w:r>
      <w:r w:rsidRPr="000504B6">
        <w:rPr>
          <w:rFonts w:ascii="Times New Roman" w:hAnsi="Times New Roman" w:cs="Times New Roman"/>
          <w:i/>
          <w:sz w:val="18"/>
        </w:rPr>
        <w:t xml:space="preserve">Zsolt Bujdosó a kol. versus Maďarsko </w:t>
      </w:r>
      <w:r w:rsidRPr="000504B6">
        <w:rPr>
          <w:rFonts w:ascii="Times New Roman" w:hAnsi="Times New Roman" w:cs="Times New Roman"/>
          <w:sz w:val="18"/>
        </w:rPr>
        <w:t>(CRPD/C/10/D/4/2011)</w:t>
      </w:r>
    </w:p>
  </w:footnote>
  <w:footnote w:id="11">
    <w:p w:rsidR="00310E2A" w:rsidRDefault="00310E2A">
      <w:pPr>
        <w:pStyle w:val="Textpoznmkypodiarou"/>
      </w:pPr>
      <w:r>
        <w:rPr>
          <w:rStyle w:val="Odkaznapoznmkupodiarou"/>
        </w:rPr>
        <w:footnoteRef/>
      </w:r>
      <w:r>
        <w:t xml:space="preserve"> </w:t>
      </w:r>
      <w:r w:rsidRPr="000504B6">
        <w:rPr>
          <w:rFonts w:ascii="Times New Roman" w:hAnsi="Times New Roman" w:cs="Times New Roman"/>
          <w:sz w:val="18"/>
        </w:rPr>
        <w:t>Pozri ods. 31 Všeobecného odporúčania č. 28 (2010) o základných povinnostiach zmluvných štátov podľa článku 2 Dohovoru Výboru pre odstránenie diskriminácie žien</w:t>
      </w:r>
      <w:r>
        <w:rPr>
          <w:rFonts w:ascii="Times New Roman" w:hAnsi="Times New Roman" w:cs="Times New Roman"/>
          <w:sz w:val="18"/>
        </w:rPr>
        <w:t>.</w:t>
      </w:r>
    </w:p>
  </w:footnote>
  <w:footnote w:id="12">
    <w:p w:rsidR="00310E2A" w:rsidRDefault="00310E2A">
      <w:pPr>
        <w:pStyle w:val="Textpoznmkypodiarou"/>
      </w:pPr>
      <w:r>
        <w:rPr>
          <w:rStyle w:val="Odkaznapoznmkupodiarou"/>
        </w:rPr>
        <w:footnoteRef/>
      </w:r>
      <w:r>
        <w:t xml:space="preserve"> </w:t>
      </w:r>
      <w:r w:rsidRPr="000504B6">
        <w:rPr>
          <w:rFonts w:ascii="Times New Roman" w:hAnsi="Times New Roman" w:cs="Times New Roman"/>
          <w:sz w:val="18"/>
        </w:rPr>
        <w:t>Pozri ods. 12 Všeobecného komentára č. 3 Výboru pre práva osôb so zdravotným postihnutím.</w:t>
      </w:r>
    </w:p>
  </w:footnote>
  <w:footnote w:id="13">
    <w:p w:rsidR="00310E2A" w:rsidRDefault="00310E2A">
      <w:pPr>
        <w:pStyle w:val="Textpoznmkypodiarou"/>
      </w:pPr>
      <w:r>
        <w:rPr>
          <w:rStyle w:val="Odkaznapoznmkupodiarou"/>
        </w:rPr>
        <w:footnoteRef/>
      </w:r>
      <w:r>
        <w:t xml:space="preserve"> </w:t>
      </w:r>
      <w:r w:rsidRPr="000504B6">
        <w:rPr>
          <w:rFonts w:ascii="Times New Roman" w:hAnsi="Times New Roman" w:cs="Times New Roman"/>
          <w:sz w:val="18"/>
          <w:szCs w:val="18"/>
        </w:rPr>
        <w:t>Pozri ods. 49 – 50 Všeobecného komentára č. 3</w:t>
      </w:r>
    </w:p>
  </w:footnote>
  <w:footnote w:id="14">
    <w:p w:rsidR="00310E2A" w:rsidRDefault="00310E2A">
      <w:pPr>
        <w:pStyle w:val="Textpoznmkypodiarou"/>
      </w:pPr>
      <w:r>
        <w:rPr>
          <w:rStyle w:val="Odkaznapoznmkupodiarou"/>
        </w:rPr>
        <w:footnoteRef/>
      </w:r>
      <w:r>
        <w:t xml:space="preserve"> </w:t>
      </w:r>
      <w:r w:rsidRPr="000504B6">
        <w:rPr>
          <w:rFonts w:ascii="Times New Roman" w:hAnsi="Times New Roman" w:cs="Times New Roman"/>
          <w:sz w:val="18"/>
        </w:rPr>
        <w:t>Pozri ods. 15 Všeobecného komentára č. 1</w:t>
      </w:r>
    </w:p>
  </w:footnote>
  <w:footnote w:id="15">
    <w:p w:rsidR="00310E2A" w:rsidRDefault="00310E2A">
      <w:pPr>
        <w:pStyle w:val="Textpoznmkypodiarou"/>
      </w:pPr>
      <w:r>
        <w:rPr>
          <w:rStyle w:val="Odkaznapoznmkupodiarou"/>
        </w:rPr>
        <w:footnoteRef/>
      </w:r>
      <w:r>
        <w:t xml:space="preserve"> </w:t>
      </w:r>
      <w:r w:rsidRPr="000504B6">
        <w:rPr>
          <w:rFonts w:ascii="Times New Roman" w:hAnsi="Times New Roman" w:cs="Times New Roman"/>
          <w:sz w:val="18"/>
        </w:rPr>
        <w:t>Pozri ods. 41 Všeobecného komentára č. 1</w:t>
      </w:r>
    </w:p>
  </w:footnote>
  <w:footnote w:id="16">
    <w:p w:rsidR="00310E2A" w:rsidRDefault="00310E2A">
      <w:pPr>
        <w:pStyle w:val="Textpoznmkypodiarou"/>
      </w:pPr>
      <w:r>
        <w:rPr>
          <w:rStyle w:val="Odkaznapoznmkupodiarou"/>
        </w:rPr>
        <w:footnoteRef/>
      </w:r>
      <w:r>
        <w:t xml:space="preserve"> </w:t>
      </w:r>
      <w:r w:rsidRPr="000504B6">
        <w:rPr>
          <w:rFonts w:ascii="Times New Roman" w:hAnsi="Times New Roman" w:cs="Times New Roman"/>
          <w:sz w:val="18"/>
        </w:rPr>
        <w:t>Pozri ods. 40 Všeobecného komentára č. 2</w:t>
      </w:r>
    </w:p>
  </w:footnote>
  <w:footnote w:id="17">
    <w:p w:rsidR="00310E2A" w:rsidRDefault="00310E2A">
      <w:pPr>
        <w:pStyle w:val="Textpoznmkypodiarou"/>
      </w:pPr>
      <w:r>
        <w:rPr>
          <w:rStyle w:val="Odkaznapoznmkupodiarou"/>
        </w:rPr>
        <w:footnoteRef/>
      </w:r>
      <w:r>
        <w:t xml:space="preserve"> </w:t>
      </w:r>
      <w:r w:rsidRPr="000504B6">
        <w:rPr>
          <w:rFonts w:ascii="Times New Roman" w:hAnsi="Times New Roman" w:cs="Times New Roman"/>
          <w:sz w:val="18"/>
        </w:rPr>
        <w:t>Pozri Dohovor Medzinárodnej organizácie práce o diskriminácii (v zamestnaní a povolaní) č. 111/1958 a Dohovor Medzinárodnej organizácie práce o pracovnej rehabilitácii a zamestnávaní (osôb so zdravotným postihnutím) č. 159/1983</w:t>
      </w:r>
    </w:p>
  </w:footnote>
  <w:footnote w:id="18">
    <w:p w:rsidR="00310E2A" w:rsidRDefault="00310E2A">
      <w:pPr>
        <w:pStyle w:val="Textpoznmkypodiarou"/>
      </w:pPr>
      <w:r>
        <w:rPr>
          <w:rStyle w:val="Odkaznapoznmkupodiarou"/>
        </w:rPr>
        <w:footnoteRef/>
      </w:r>
      <w:r>
        <w:t xml:space="preserve"> </w:t>
      </w:r>
      <w:r w:rsidRPr="000504B6">
        <w:rPr>
          <w:rFonts w:ascii="Times New Roman" w:hAnsi="Times New Roman" w:cs="Times New Roman"/>
          <w:sz w:val="18"/>
          <w:szCs w:val="18"/>
        </w:rPr>
        <w:t>Pozri ods. 10 Všeobecného komentára č. 3 (1990) o povahe záväzkov zmluvných štátov Výboru pre hospodárske, sociálne a kultúrne práva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270E" w:rsidRDefault="0032000C">
    <w:pPr>
      <w:spacing w:line="14" w:lineRule="auto"/>
      <w:rPr>
        <w:sz w:val="20"/>
        <w:szCs w:val="20"/>
      </w:rPr>
    </w:pPr>
    <w:r>
      <w:rPr>
        <w:noProof/>
        <w:lang w:eastAsia="sk-SK"/>
      </w:rPr>
      <mc:AlternateContent>
        <mc:Choice Requires="wpg">
          <w:drawing>
            <wp:anchor distT="0" distB="0" distL="114300" distR="114300" simplePos="0" relativeHeight="503304008" behindDoc="1" locked="0" layoutInCell="1" allowOverlap="1">
              <wp:simplePos x="0" y="0"/>
              <wp:positionH relativeFrom="page">
                <wp:posOffset>701040</wp:posOffset>
              </wp:positionH>
              <wp:positionV relativeFrom="page">
                <wp:posOffset>725170</wp:posOffset>
              </wp:positionV>
              <wp:extent cx="6158230" cy="1270"/>
              <wp:effectExtent l="5715" t="10795" r="8255" b="6985"/>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58230" cy="1270"/>
                        <a:chOff x="1104" y="1142"/>
                        <a:chExt cx="9698" cy="2"/>
                      </a:xfrm>
                    </wpg:grpSpPr>
                    <wps:wsp>
                      <wps:cNvPr id="8" name="Freeform 8"/>
                      <wps:cNvSpPr>
                        <a:spLocks/>
                      </wps:cNvSpPr>
                      <wps:spPr bwMode="auto">
                        <a:xfrm>
                          <a:off x="1104" y="1142"/>
                          <a:ext cx="9698" cy="2"/>
                        </a:xfrm>
                        <a:custGeom>
                          <a:avLst/>
                          <a:gdLst>
                            <a:gd name="T0" fmla="+- 0 1104 1104"/>
                            <a:gd name="T1" fmla="*/ T0 w 9698"/>
                            <a:gd name="T2" fmla="+- 0 10802 1104"/>
                            <a:gd name="T3" fmla="*/ T2 w 9698"/>
                          </a:gdLst>
                          <a:ahLst/>
                          <a:cxnLst>
                            <a:cxn ang="0">
                              <a:pos x="T1" y="0"/>
                            </a:cxn>
                            <a:cxn ang="0">
                              <a:pos x="T3" y="0"/>
                            </a:cxn>
                          </a:cxnLst>
                          <a:rect l="0" t="0" r="r" b="b"/>
                          <a:pathLst>
                            <a:path w="9698">
                              <a:moveTo>
                                <a:pt x="0" y="0"/>
                              </a:moveTo>
                              <a:lnTo>
                                <a:pt x="9698"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 o:spid="_x0000_s1026" style="position:absolute;margin-left:55.2pt;margin-top:57.1pt;width:484.9pt;height:.1pt;z-index:-12472;mso-position-horizontal-relative:page;mso-position-vertical-relative:page" coordorigin="1104,1142" coordsize="969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">
              <v:shape id="Freeform 8" o:spid="_x0000_s1027" style="position:absolute;left:1104;top:1142;width:9698;height:2;visibility:visible;mso-wrap-style:square;v-text-anchor:top" coordsize="969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3a08EA&#10;AADaAAAADwAAAGRycy9kb3ducmV2LnhtbERPz2vCMBS+D/wfwhN2GZq6w5BqFBGFsYHDKoK3R/Js&#10;is1LaWLt/OuXw8Djx/d7vuxdLTpqQ+VZwWScgSDW3lRcKjgetqMpiBCRDdaeScEvBVguBi9zzI2/&#10;8566IpYihXDIUYGNscmlDNqSwzD2DXHiLr51GBNsS2lavKdwV8v3LPuQDitODRYbWlvS1+LmFJwm&#10;4dxsfrrvnd483nRp9rfjl1XqddivZiAi9fEp/nd/GgVpa7qSboBc/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Ht2tPBAAAA2gAAAA8AAAAAAAAAAAAAAAAAmAIAAGRycy9kb3du&#10;cmV2LnhtbFBLBQYAAAAABAAEAPUAAACGAwAAAAA=&#10;" path="m,l9698,e" filled="f" strokeweight=".48pt">
                <v:path arrowok="t" o:connecttype="custom" o:connectlocs="0,0;9698,0" o:connectangles="0,0"/>
              </v:shape>
              <w10:wrap anchorx="page" anchory="page"/>
            </v:group>
          </w:pict>
        </mc:Fallback>
      </mc:AlternateContent>
    </w:r>
    <w:r>
      <w:rPr>
        <w:noProof/>
        <w:lang w:eastAsia="sk-SK"/>
      </w:rPr>
      <mc:AlternateContent>
        <mc:Choice Requires="wps">
          <w:drawing>
            <wp:anchor distT="0" distB="0" distL="114300" distR="114300" simplePos="0" relativeHeight="503304032" behindDoc="1" locked="0" layoutInCell="1" allowOverlap="1">
              <wp:simplePos x="0" y="0"/>
              <wp:positionH relativeFrom="page">
                <wp:posOffset>706755</wp:posOffset>
              </wp:positionH>
              <wp:positionV relativeFrom="page">
                <wp:posOffset>542925</wp:posOffset>
              </wp:positionV>
              <wp:extent cx="748665" cy="139700"/>
              <wp:effectExtent l="1905" t="0" r="1905" b="317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866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1270E" w:rsidRDefault="008832F4">
                          <w:pPr>
                            <w:spacing w:line="204" w:lineRule="exact"/>
                            <w:ind w:left="20"/>
                            <w:rPr>
                              <w:rFonts w:ascii="Times New Roman" w:eastAsia="Times New Roman" w:hAnsi="Times New Roman" w:cs="Times New Roman"/>
                              <w:sz w:val="18"/>
                              <w:szCs w:val="18"/>
                            </w:rPr>
                          </w:pPr>
                          <w:r>
                            <w:rPr>
                              <w:rFonts w:ascii="Times New Roman"/>
                              <w:b/>
                              <w:sz w:val="18"/>
                            </w:rPr>
                            <w:t>CRPD/C/GC/6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margin-left:55.65pt;margin-top:42.75pt;width:58.95pt;height:11pt;z-index:-12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" filled="f" stroked="f">
              <v:textbox inset="0,0,0,0">
                <w:txbxContent>
                  <w:p w:rsidR="00E1270E" w:rsidRDefault="008832F4">
                    <w:pPr>
                      <w:spacing w:line="204" w:lineRule="exact"/>
                      <w:ind w:left="20"/>
                      <w:rPr>
                        <w:rFonts w:ascii="Times New Roman" w:eastAsia="Times New Roman" w:hAnsi="Times New Roman" w:cs="Times New Roman"/>
                        <w:sz w:val="18"/>
                        <w:szCs w:val="18"/>
                      </w:rPr>
                    </w:pPr>
                    <w:r>
                      <w:rPr>
                        <w:rFonts w:ascii="Times New Roman"/>
                        <w:b/>
                        <w:sz w:val="18"/>
                      </w:rPr>
                      <w:t>CRPD/C/GC/6</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270E" w:rsidRDefault="0032000C">
    <w:pPr>
      <w:spacing w:line="14" w:lineRule="auto"/>
      <w:rPr>
        <w:sz w:val="20"/>
        <w:szCs w:val="20"/>
      </w:rPr>
    </w:pPr>
    <w:r>
      <w:rPr>
        <w:noProof/>
        <w:lang w:eastAsia="sk-SK"/>
      </w:rPr>
      <mc:AlternateContent>
        <mc:Choice Requires="wpg">
          <w:drawing>
            <wp:anchor distT="0" distB="0" distL="114300" distR="114300" simplePos="0" relativeHeight="503304056" behindDoc="1" locked="0" layoutInCell="1" allowOverlap="1">
              <wp:simplePos x="0" y="0"/>
              <wp:positionH relativeFrom="page">
                <wp:posOffset>701040</wp:posOffset>
              </wp:positionH>
              <wp:positionV relativeFrom="page">
                <wp:posOffset>725170</wp:posOffset>
              </wp:positionV>
              <wp:extent cx="6158230" cy="1270"/>
              <wp:effectExtent l="5715" t="10795" r="8255" b="6985"/>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58230" cy="1270"/>
                        <a:chOff x="1104" y="1142"/>
                        <a:chExt cx="9698" cy="2"/>
                      </a:xfrm>
                    </wpg:grpSpPr>
                    <wps:wsp>
                      <wps:cNvPr id="5" name="Freeform 5"/>
                      <wps:cNvSpPr>
                        <a:spLocks/>
                      </wps:cNvSpPr>
                      <wps:spPr bwMode="auto">
                        <a:xfrm>
                          <a:off x="1104" y="1142"/>
                          <a:ext cx="9698" cy="2"/>
                        </a:xfrm>
                        <a:custGeom>
                          <a:avLst/>
                          <a:gdLst>
                            <a:gd name="T0" fmla="+- 0 1104 1104"/>
                            <a:gd name="T1" fmla="*/ T0 w 9698"/>
                            <a:gd name="T2" fmla="+- 0 10802 1104"/>
                            <a:gd name="T3" fmla="*/ T2 w 9698"/>
                          </a:gdLst>
                          <a:ahLst/>
                          <a:cxnLst>
                            <a:cxn ang="0">
                              <a:pos x="T1" y="0"/>
                            </a:cxn>
                            <a:cxn ang="0">
                              <a:pos x="T3" y="0"/>
                            </a:cxn>
                          </a:cxnLst>
                          <a:rect l="0" t="0" r="r" b="b"/>
                          <a:pathLst>
                            <a:path w="9698">
                              <a:moveTo>
                                <a:pt x="0" y="0"/>
                              </a:moveTo>
                              <a:lnTo>
                                <a:pt x="9698"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 o:spid="_x0000_s1026" style="position:absolute;margin-left:55.2pt;margin-top:57.1pt;width:484.9pt;height:.1pt;z-index:-12424;mso-position-horizontal-relative:page;mso-position-vertical-relative:page" coordorigin="1104,1142" coordsize="969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">
              <v:shape id="Freeform 5" o:spid="_x0000_s1027" style="position:absolute;left:1104;top:1142;width:9698;height:2;visibility:visible;mso-wrap-style:square;v-text-anchor:top" coordsize="969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1TcQA&#10;AADaAAAADwAAAGRycy9kb3ducmV2LnhtbESPQWsCMRSE70L/Q3gFL1KzFiplNUopFoqCohXB2yN5&#10;bpZuXpZNXNf+eiMIPQ4z8w0znXeuEi01ofSsYDTMQBBrb0ouFOx/vl7eQYSIbLDyTAquFGA+e+pN&#10;MTf+wltqd7EQCcIhRwU2xjqXMmhLDsPQ18TJO/nGYUyyKaRp8JLgrpKvWTaWDktOCxZr+rSkf3dn&#10;p+AwCsd6sWlXa734G+jCbM/7pVWq/9x9TEBE6uJ/+NH+Ngre4H4l3QA5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dU3EAAAA2gAAAA8AAAAAAAAAAAAAAAAAmAIAAGRycy9k&#10;b3ducmV2LnhtbFBLBQYAAAAABAAEAPUAAACJAwAAAAA=&#10;" path="m,l9698,e" filled="f" strokeweight=".48pt">
                <v:path arrowok="t" o:connecttype="custom" o:connectlocs="0,0;9698,0" o:connectangles="0,0"/>
              </v:shape>
              <w10:wrap anchorx="page" anchory="page"/>
            </v:group>
          </w:pict>
        </mc:Fallback>
      </mc:AlternateContent>
    </w:r>
    <w:r>
      <w:rPr>
        <w:noProof/>
        <w:lang w:eastAsia="sk-SK"/>
      </w:rPr>
      <mc:AlternateContent>
        <mc:Choice Requires="wps">
          <w:drawing>
            <wp:anchor distT="0" distB="0" distL="114300" distR="114300" simplePos="0" relativeHeight="503304080" behindDoc="1" locked="0" layoutInCell="1" allowOverlap="1">
              <wp:simplePos x="0" y="0"/>
              <wp:positionH relativeFrom="page">
                <wp:posOffset>6104255</wp:posOffset>
              </wp:positionH>
              <wp:positionV relativeFrom="page">
                <wp:posOffset>542925</wp:posOffset>
              </wp:positionV>
              <wp:extent cx="748665" cy="139700"/>
              <wp:effectExtent l="0" t="0" r="0" b="317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866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1270E" w:rsidRDefault="008832F4">
                          <w:pPr>
                            <w:spacing w:line="204" w:lineRule="exact"/>
                            <w:ind w:left="20"/>
                            <w:rPr>
                              <w:rFonts w:ascii="Times New Roman" w:eastAsia="Times New Roman" w:hAnsi="Times New Roman" w:cs="Times New Roman"/>
                              <w:sz w:val="18"/>
                              <w:szCs w:val="18"/>
                            </w:rPr>
                          </w:pPr>
                          <w:r>
                            <w:rPr>
                              <w:rFonts w:ascii="Times New Roman"/>
                              <w:b/>
                              <w:sz w:val="18"/>
                            </w:rPr>
                            <w:t>CRPD/C/GC/6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7" type="#_x0000_t202" style="position:absolute;margin-left:480.65pt;margin-top:42.75pt;width:58.95pt;height:11pt;z-index:-12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" filled="f" stroked="f">
              <v:textbox inset="0,0,0,0">
                <w:txbxContent>
                  <w:p w:rsidR="00E1270E" w:rsidRDefault="008832F4">
                    <w:pPr>
                      <w:spacing w:line="204" w:lineRule="exact"/>
                      <w:ind w:left="20"/>
                      <w:rPr>
                        <w:rFonts w:ascii="Times New Roman" w:eastAsia="Times New Roman" w:hAnsi="Times New Roman" w:cs="Times New Roman"/>
                        <w:sz w:val="18"/>
                        <w:szCs w:val="18"/>
                      </w:rPr>
                    </w:pPr>
                    <w:r>
                      <w:rPr>
                        <w:rFonts w:ascii="Times New Roman"/>
                        <w:b/>
                        <w:sz w:val="18"/>
                      </w:rPr>
                      <w:t>CRPD/C/GC/6</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20A4B"/>
    <w:multiLevelType w:val="hybridMultilevel"/>
    <w:tmpl w:val="03EA9C00"/>
    <w:lvl w:ilvl="0" w:tplc="42A66674">
      <w:start w:val="1"/>
      <w:numFmt w:val="upperLetter"/>
      <w:lvlText w:val="%1."/>
      <w:lvlJc w:val="left"/>
      <w:pPr>
        <w:ind w:left="1286" w:hanging="514"/>
        <w:jc w:val="left"/>
      </w:pPr>
      <w:rPr>
        <w:rFonts w:ascii="Times New Roman" w:eastAsia="Times New Roman" w:hAnsi="Times New Roman" w:hint="default"/>
        <w:b/>
        <w:bCs/>
        <w:sz w:val="24"/>
        <w:szCs w:val="24"/>
      </w:rPr>
    </w:lvl>
    <w:lvl w:ilvl="1" w:tplc="F292805C">
      <w:start w:val="1"/>
      <w:numFmt w:val="bullet"/>
      <w:lvlText w:val="•"/>
      <w:lvlJc w:val="left"/>
      <w:pPr>
        <w:ind w:left="2146" w:hanging="514"/>
      </w:pPr>
      <w:rPr>
        <w:rFonts w:hint="default"/>
      </w:rPr>
    </w:lvl>
    <w:lvl w:ilvl="2" w:tplc="BB1C93E6">
      <w:start w:val="1"/>
      <w:numFmt w:val="bullet"/>
      <w:lvlText w:val="•"/>
      <w:lvlJc w:val="left"/>
      <w:pPr>
        <w:ind w:left="3013" w:hanging="514"/>
      </w:pPr>
      <w:rPr>
        <w:rFonts w:hint="default"/>
      </w:rPr>
    </w:lvl>
    <w:lvl w:ilvl="3" w:tplc="415CE9E4">
      <w:start w:val="1"/>
      <w:numFmt w:val="bullet"/>
      <w:lvlText w:val="•"/>
      <w:lvlJc w:val="left"/>
      <w:pPr>
        <w:ind w:left="3879" w:hanging="514"/>
      </w:pPr>
      <w:rPr>
        <w:rFonts w:hint="default"/>
      </w:rPr>
    </w:lvl>
    <w:lvl w:ilvl="4" w:tplc="50E4D258">
      <w:start w:val="1"/>
      <w:numFmt w:val="bullet"/>
      <w:lvlText w:val="•"/>
      <w:lvlJc w:val="left"/>
      <w:pPr>
        <w:ind w:left="4746" w:hanging="514"/>
      </w:pPr>
      <w:rPr>
        <w:rFonts w:hint="default"/>
      </w:rPr>
    </w:lvl>
    <w:lvl w:ilvl="5" w:tplc="22E2C228">
      <w:start w:val="1"/>
      <w:numFmt w:val="bullet"/>
      <w:lvlText w:val="•"/>
      <w:lvlJc w:val="left"/>
      <w:pPr>
        <w:ind w:left="5613" w:hanging="514"/>
      </w:pPr>
      <w:rPr>
        <w:rFonts w:hint="default"/>
      </w:rPr>
    </w:lvl>
    <w:lvl w:ilvl="6" w:tplc="2B12AF5E">
      <w:start w:val="1"/>
      <w:numFmt w:val="bullet"/>
      <w:lvlText w:val="•"/>
      <w:lvlJc w:val="left"/>
      <w:pPr>
        <w:ind w:left="6479" w:hanging="514"/>
      </w:pPr>
      <w:rPr>
        <w:rFonts w:hint="default"/>
      </w:rPr>
    </w:lvl>
    <w:lvl w:ilvl="7" w:tplc="276CA796">
      <w:start w:val="1"/>
      <w:numFmt w:val="bullet"/>
      <w:lvlText w:val="•"/>
      <w:lvlJc w:val="left"/>
      <w:pPr>
        <w:ind w:left="7346" w:hanging="514"/>
      </w:pPr>
      <w:rPr>
        <w:rFonts w:hint="default"/>
      </w:rPr>
    </w:lvl>
    <w:lvl w:ilvl="8" w:tplc="A6022744">
      <w:start w:val="1"/>
      <w:numFmt w:val="bullet"/>
      <w:lvlText w:val="•"/>
      <w:lvlJc w:val="left"/>
      <w:pPr>
        <w:ind w:left="8213" w:hanging="514"/>
      </w:pPr>
      <w:rPr>
        <w:rFonts w:hint="default"/>
      </w:rPr>
    </w:lvl>
  </w:abstractNum>
  <w:abstractNum w:abstractNumId="1">
    <w:nsid w:val="08C63288"/>
    <w:multiLevelType w:val="hybridMultilevel"/>
    <w:tmpl w:val="7E865DD8"/>
    <w:lvl w:ilvl="0" w:tplc="B39AA90A">
      <w:start w:val="1"/>
      <w:numFmt w:val="upperLetter"/>
      <w:lvlText w:val="%1."/>
      <w:lvlJc w:val="left"/>
      <w:pPr>
        <w:ind w:left="1286" w:hanging="514"/>
        <w:jc w:val="right"/>
      </w:pPr>
      <w:rPr>
        <w:rFonts w:ascii="Times New Roman" w:eastAsia="Times New Roman" w:hAnsi="Times New Roman" w:hint="default"/>
        <w:b/>
        <w:bCs/>
        <w:sz w:val="24"/>
        <w:szCs w:val="24"/>
      </w:rPr>
    </w:lvl>
    <w:lvl w:ilvl="1" w:tplc="6EF65C8A">
      <w:start w:val="1"/>
      <w:numFmt w:val="decimal"/>
      <w:lvlText w:val="%2."/>
      <w:lvlJc w:val="left"/>
      <w:pPr>
        <w:ind w:left="1286" w:hanging="432"/>
        <w:jc w:val="left"/>
      </w:pPr>
      <w:rPr>
        <w:rFonts w:ascii="Times New Roman" w:eastAsia="Times New Roman" w:hAnsi="Times New Roman" w:hint="default"/>
        <w:b/>
        <w:bCs/>
        <w:w w:val="99"/>
        <w:sz w:val="20"/>
        <w:szCs w:val="20"/>
      </w:rPr>
    </w:lvl>
    <w:lvl w:ilvl="2" w:tplc="83247BC8">
      <w:start w:val="52"/>
      <w:numFmt w:val="decimal"/>
      <w:lvlText w:val="%3."/>
      <w:lvlJc w:val="left"/>
      <w:pPr>
        <w:ind w:left="1286" w:hanging="569"/>
        <w:jc w:val="left"/>
      </w:pPr>
      <w:rPr>
        <w:rFonts w:ascii="Times New Roman" w:eastAsia="Times New Roman" w:hAnsi="Times New Roman" w:hint="default"/>
        <w:w w:val="99"/>
        <w:sz w:val="20"/>
        <w:szCs w:val="20"/>
      </w:rPr>
    </w:lvl>
    <w:lvl w:ilvl="3" w:tplc="2A36DF94">
      <w:start w:val="1"/>
      <w:numFmt w:val="lowerLetter"/>
      <w:lvlText w:val="(%4)"/>
      <w:lvlJc w:val="left"/>
      <w:pPr>
        <w:ind w:left="1286" w:hanging="567"/>
        <w:jc w:val="left"/>
      </w:pPr>
      <w:rPr>
        <w:rFonts w:ascii="Times New Roman" w:eastAsia="Times New Roman" w:hAnsi="Times New Roman" w:hint="default"/>
        <w:w w:val="99"/>
        <w:sz w:val="20"/>
        <w:szCs w:val="20"/>
      </w:rPr>
    </w:lvl>
    <w:lvl w:ilvl="4" w:tplc="E1B2FDC8">
      <w:start w:val="1"/>
      <w:numFmt w:val="bullet"/>
      <w:lvlText w:val="•"/>
      <w:lvlJc w:val="left"/>
      <w:pPr>
        <w:ind w:left="4746" w:hanging="567"/>
      </w:pPr>
      <w:rPr>
        <w:rFonts w:hint="default"/>
      </w:rPr>
    </w:lvl>
    <w:lvl w:ilvl="5" w:tplc="8CC03FB2">
      <w:start w:val="1"/>
      <w:numFmt w:val="bullet"/>
      <w:lvlText w:val="•"/>
      <w:lvlJc w:val="left"/>
      <w:pPr>
        <w:ind w:left="5613" w:hanging="567"/>
      </w:pPr>
      <w:rPr>
        <w:rFonts w:hint="default"/>
      </w:rPr>
    </w:lvl>
    <w:lvl w:ilvl="6" w:tplc="12443A9E">
      <w:start w:val="1"/>
      <w:numFmt w:val="bullet"/>
      <w:lvlText w:val="•"/>
      <w:lvlJc w:val="left"/>
      <w:pPr>
        <w:ind w:left="6479" w:hanging="567"/>
      </w:pPr>
      <w:rPr>
        <w:rFonts w:hint="default"/>
      </w:rPr>
    </w:lvl>
    <w:lvl w:ilvl="7" w:tplc="25EC56E8">
      <w:start w:val="1"/>
      <w:numFmt w:val="bullet"/>
      <w:lvlText w:val="•"/>
      <w:lvlJc w:val="left"/>
      <w:pPr>
        <w:ind w:left="7346" w:hanging="567"/>
      </w:pPr>
      <w:rPr>
        <w:rFonts w:hint="default"/>
      </w:rPr>
    </w:lvl>
    <w:lvl w:ilvl="8" w:tplc="58CE4A84">
      <w:start w:val="1"/>
      <w:numFmt w:val="bullet"/>
      <w:lvlText w:val="•"/>
      <w:lvlJc w:val="left"/>
      <w:pPr>
        <w:ind w:left="8213" w:hanging="567"/>
      </w:pPr>
      <w:rPr>
        <w:rFonts w:hint="default"/>
      </w:rPr>
    </w:lvl>
  </w:abstractNum>
  <w:abstractNum w:abstractNumId="2">
    <w:nsid w:val="221F2FC1"/>
    <w:multiLevelType w:val="hybridMultilevel"/>
    <w:tmpl w:val="73085D30"/>
    <w:lvl w:ilvl="0" w:tplc="910C069A">
      <w:start w:val="55"/>
      <w:numFmt w:val="decimal"/>
      <w:lvlText w:val="%1."/>
      <w:lvlJc w:val="left"/>
      <w:pPr>
        <w:ind w:left="1286" w:hanging="519"/>
        <w:jc w:val="left"/>
      </w:pPr>
      <w:rPr>
        <w:rFonts w:ascii="Times New Roman" w:eastAsia="Times New Roman" w:hAnsi="Times New Roman" w:hint="default"/>
        <w:w w:val="99"/>
        <w:sz w:val="20"/>
        <w:szCs w:val="20"/>
      </w:rPr>
    </w:lvl>
    <w:lvl w:ilvl="1" w:tplc="AC6425FE">
      <w:start w:val="1"/>
      <w:numFmt w:val="lowerLetter"/>
      <w:lvlText w:val="(%2)"/>
      <w:lvlJc w:val="left"/>
      <w:pPr>
        <w:ind w:left="1286" w:hanging="567"/>
        <w:jc w:val="left"/>
      </w:pPr>
      <w:rPr>
        <w:rFonts w:ascii="Times New Roman" w:eastAsia="Times New Roman" w:hAnsi="Times New Roman" w:hint="default"/>
        <w:w w:val="99"/>
        <w:sz w:val="20"/>
        <w:szCs w:val="20"/>
      </w:rPr>
    </w:lvl>
    <w:lvl w:ilvl="2" w:tplc="F14211F6">
      <w:start w:val="1"/>
      <w:numFmt w:val="bullet"/>
      <w:lvlText w:val="•"/>
      <w:lvlJc w:val="left"/>
      <w:pPr>
        <w:ind w:left="3013" w:hanging="567"/>
      </w:pPr>
      <w:rPr>
        <w:rFonts w:hint="default"/>
      </w:rPr>
    </w:lvl>
    <w:lvl w:ilvl="3" w:tplc="74F4180C">
      <w:start w:val="1"/>
      <w:numFmt w:val="bullet"/>
      <w:lvlText w:val="•"/>
      <w:lvlJc w:val="left"/>
      <w:pPr>
        <w:ind w:left="3879" w:hanging="567"/>
      </w:pPr>
      <w:rPr>
        <w:rFonts w:hint="default"/>
      </w:rPr>
    </w:lvl>
    <w:lvl w:ilvl="4" w:tplc="D5DABB1A">
      <w:start w:val="1"/>
      <w:numFmt w:val="bullet"/>
      <w:lvlText w:val="•"/>
      <w:lvlJc w:val="left"/>
      <w:pPr>
        <w:ind w:left="4746" w:hanging="567"/>
      </w:pPr>
      <w:rPr>
        <w:rFonts w:hint="default"/>
      </w:rPr>
    </w:lvl>
    <w:lvl w:ilvl="5" w:tplc="6EB6A58A">
      <w:start w:val="1"/>
      <w:numFmt w:val="bullet"/>
      <w:lvlText w:val="•"/>
      <w:lvlJc w:val="left"/>
      <w:pPr>
        <w:ind w:left="5613" w:hanging="567"/>
      </w:pPr>
      <w:rPr>
        <w:rFonts w:hint="default"/>
      </w:rPr>
    </w:lvl>
    <w:lvl w:ilvl="6" w:tplc="1FD48A90">
      <w:start w:val="1"/>
      <w:numFmt w:val="bullet"/>
      <w:lvlText w:val="•"/>
      <w:lvlJc w:val="left"/>
      <w:pPr>
        <w:ind w:left="6479" w:hanging="567"/>
      </w:pPr>
      <w:rPr>
        <w:rFonts w:hint="default"/>
      </w:rPr>
    </w:lvl>
    <w:lvl w:ilvl="7" w:tplc="53323FE0">
      <w:start w:val="1"/>
      <w:numFmt w:val="bullet"/>
      <w:lvlText w:val="•"/>
      <w:lvlJc w:val="left"/>
      <w:pPr>
        <w:ind w:left="7346" w:hanging="567"/>
      </w:pPr>
      <w:rPr>
        <w:rFonts w:hint="default"/>
      </w:rPr>
    </w:lvl>
    <w:lvl w:ilvl="8" w:tplc="03182912">
      <w:start w:val="1"/>
      <w:numFmt w:val="bullet"/>
      <w:lvlText w:val="•"/>
      <w:lvlJc w:val="left"/>
      <w:pPr>
        <w:ind w:left="8213" w:hanging="567"/>
      </w:pPr>
      <w:rPr>
        <w:rFonts w:hint="default"/>
      </w:rPr>
    </w:lvl>
  </w:abstractNum>
  <w:abstractNum w:abstractNumId="3">
    <w:nsid w:val="58730918"/>
    <w:multiLevelType w:val="hybridMultilevel"/>
    <w:tmpl w:val="FC60755E"/>
    <w:lvl w:ilvl="0" w:tplc="FB3006BE">
      <w:start w:val="1"/>
      <w:numFmt w:val="upperRoman"/>
      <w:lvlText w:val="%1."/>
      <w:lvlJc w:val="left"/>
      <w:pPr>
        <w:ind w:left="1266" w:hanging="461"/>
        <w:jc w:val="right"/>
      </w:pPr>
      <w:rPr>
        <w:rFonts w:ascii="Times New Roman" w:eastAsia="Times New Roman" w:hAnsi="Times New Roman" w:hint="default"/>
        <w:b/>
        <w:bCs/>
        <w:w w:val="100"/>
        <w:sz w:val="28"/>
        <w:szCs w:val="28"/>
      </w:rPr>
    </w:lvl>
    <w:lvl w:ilvl="1" w:tplc="159C6F3C">
      <w:start w:val="1"/>
      <w:numFmt w:val="decimal"/>
      <w:lvlText w:val="%2."/>
      <w:lvlJc w:val="left"/>
      <w:pPr>
        <w:ind w:left="1266" w:hanging="569"/>
        <w:jc w:val="left"/>
      </w:pPr>
      <w:rPr>
        <w:rFonts w:ascii="Times New Roman" w:eastAsia="Times New Roman" w:hAnsi="Times New Roman" w:hint="default"/>
        <w:w w:val="99"/>
        <w:sz w:val="20"/>
        <w:szCs w:val="20"/>
      </w:rPr>
    </w:lvl>
    <w:lvl w:ilvl="2" w:tplc="F3C0D850">
      <w:start w:val="1"/>
      <w:numFmt w:val="bullet"/>
      <w:lvlText w:val="•"/>
      <w:lvlJc w:val="left"/>
      <w:pPr>
        <w:ind w:left="2989" w:hanging="569"/>
      </w:pPr>
      <w:rPr>
        <w:rFonts w:hint="default"/>
      </w:rPr>
    </w:lvl>
    <w:lvl w:ilvl="3" w:tplc="2E2E1F62">
      <w:start w:val="1"/>
      <w:numFmt w:val="bullet"/>
      <w:lvlText w:val="•"/>
      <w:lvlJc w:val="left"/>
      <w:pPr>
        <w:ind w:left="3853" w:hanging="569"/>
      </w:pPr>
      <w:rPr>
        <w:rFonts w:hint="default"/>
      </w:rPr>
    </w:lvl>
    <w:lvl w:ilvl="4" w:tplc="47B673BE">
      <w:start w:val="1"/>
      <w:numFmt w:val="bullet"/>
      <w:lvlText w:val="•"/>
      <w:lvlJc w:val="left"/>
      <w:pPr>
        <w:ind w:left="4718" w:hanging="569"/>
      </w:pPr>
      <w:rPr>
        <w:rFonts w:hint="default"/>
      </w:rPr>
    </w:lvl>
    <w:lvl w:ilvl="5" w:tplc="B07C3618">
      <w:start w:val="1"/>
      <w:numFmt w:val="bullet"/>
      <w:lvlText w:val="•"/>
      <w:lvlJc w:val="left"/>
      <w:pPr>
        <w:ind w:left="5583" w:hanging="569"/>
      </w:pPr>
      <w:rPr>
        <w:rFonts w:hint="default"/>
      </w:rPr>
    </w:lvl>
    <w:lvl w:ilvl="6" w:tplc="BC604B62">
      <w:start w:val="1"/>
      <w:numFmt w:val="bullet"/>
      <w:lvlText w:val="•"/>
      <w:lvlJc w:val="left"/>
      <w:pPr>
        <w:ind w:left="6447" w:hanging="569"/>
      </w:pPr>
      <w:rPr>
        <w:rFonts w:hint="default"/>
      </w:rPr>
    </w:lvl>
    <w:lvl w:ilvl="7" w:tplc="54907022">
      <w:start w:val="1"/>
      <w:numFmt w:val="bullet"/>
      <w:lvlText w:val="•"/>
      <w:lvlJc w:val="left"/>
      <w:pPr>
        <w:ind w:left="7312" w:hanging="569"/>
      </w:pPr>
      <w:rPr>
        <w:rFonts w:hint="default"/>
      </w:rPr>
    </w:lvl>
    <w:lvl w:ilvl="8" w:tplc="60CCF548">
      <w:start w:val="1"/>
      <w:numFmt w:val="bullet"/>
      <w:lvlText w:val="•"/>
      <w:lvlJc w:val="left"/>
      <w:pPr>
        <w:ind w:left="8177" w:hanging="569"/>
      </w:pPr>
      <w:rPr>
        <w:rFonts w:hint="default"/>
      </w:rPr>
    </w:lvl>
  </w:abstractNum>
  <w:abstractNum w:abstractNumId="4">
    <w:nsid w:val="67AF749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nsid w:val="6CE1384B"/>
    <w:multiLevelType w:val="hybridMultilevel"/>
    <w:tmpl w:val="8364334E"/>
    <w:lvl w:ilvl="0" w:tplc="8BF80E2E">
      <w:start w:val="4"/>
      <w:numFmt w:val="decimal"/>
      <w:lvlText w:val="%1."/>
      <w:lvlJc w:val="left"/>
      <w:pPr>
        <w:ind w:left="1266" w:hanging="569"/>
        <w:jc w:val="left"/>
      </w:pPr>
      <w:rPr>
        <w:rFonts w:ascii="Times New Roman" w:eastAsia="Times New Roman" w:hAnsi="Times New Roman" w:hint="default"/>
        <w:w w:val="99"/>
        <w:sz w:val="20"/>
        <w:szCs w:val="20"/>
      </w:rPr>
    </w:lvl>
    <w:lvl w:ilvl="1" w:tplc="73423606">
      <w:start w:val="1"/>
      <w:numFmt w:val="lowerLetter"/>
      <w:lvlText w:val="(%2)"/>
      <w:lvlJc w:val="left"/>
      <w:pPr>
        <w:ind w:left="1286" w:hanging="567"/>
        <w:jc w:val="left"/>
      </w:pPr>
      <w:rPr>
        <w:rFonts w:ascii="Times New Roman" w:eastAsia="Times New Roman" w:hAnsi="Times New Roman" w:hint="default"/>
        <w:w w:val="99"/>
        <w:sz w:val="20"/>
        <w:szCs w:val="20"/>
      </w:rPr>
    </w:lvl>
    <w:lvl w:ilvl="2" w:tplc="D6087CA8">
      <w:start w:val="1"/>
      <w:numFmt w:val="bullet"/>
      <w:lvlText w:val="•"/>
      <w:lvlJc w:val="left"/>
      <w:pPr>
        <w:ind w:left="2238" w:hanging="567"/>
      </w:pPr>
      <w:rPr>
        <w:rFonts w:hint="default"/>
      </w:rPr>
    </w:lvl>
    <w:lvl w:ilvl="3" w:tplc="B810E7D6">
      <w:start w:val="1"/>
      <w:numFmt w:val="bullet"/>
      <w:lvlText w:val="•"/>
      <w:lvlJc w:val="left"/>
      <w:pPr>
        <w:ind w:left="3196" w:hanging="567"/>
      </w:pPr>
      <w:rPr>
        <w:rFonts w:hint="default"/>
      </w:rPr>
    </w:lvl>
    <w:lvl w:ilvl="4" w:tplc="998C1B08">
      <w:start w:val="1"/>
      <w:numFmt w:val="bullet"/>
      <w:lvlText w:val="•"/>
      <w:lvlJc w:val="left"/>
      <w:pPr>
        <w:ind w:left="4155" w:hanging="567"/>
      </w:pPr>
      <w:rPr>
        <w:rFonts w:hint="default"/>
      </w:rPr>
    </w:lvl>
    <w:lvl w:ilvl="5" w:tplc="85DE2B84">
      <w:start w:val="1"/>
      <w:numFmt w:val="bullet"/>
      <w:lvlText w:val="•"/>
      <w:lvlJc w:val="left"/>
      <w:pPr>
        <w:ind w:left="5113" w:hanging="567"/>
      </w:pPr>
      <w:rPr>
        <w:rFonts w:hint="default"/>
      </w:rPr>
    </w:lvl>
    <w:lvl w:ilvl="6" w:tplc="C8560584">
      <w:start w:val="1"/>
      <w:numFmt w:val="bullet"/>
      <w:lvlText w:val="•"/>
      <w:lvlJc w:val="left"/>
      <w:pPr>
        <w:ind w:left="6072" w:hanging="567"/>
      </w:pPr>
      <w:rPr>
        <w:rFonts w:hint="default"/>
      </w:rPr>
    </w:lvl>
    <w:lvl w:ilvl="7" w:tplc="DDA485B6">
      <w:start w:val="1"/>
      <w:numFmt w:val="bullet"/>
      <w:lvlText w:val="•"/>
      <w:lvlJc w:val="left"/>
      <w:pPr>
        <w:ind w:left="7030" w:hanging="567"/>
      </w:pPr>
      <w:rPr>
        <w:rFonts w:hint="default"/>
      </w:rPr>
    </w:lvl>
    <w:lvl w:ilvl="8" w:tplc="3DC05420">
      <w:start w:val="1"/>
      <w:numFmt w:val="bullet"/>
      <w:lvlText w:val="•"/>
      <w:lvlJc w:val="left"/>
      <w:pPr>
        <w:ind w:left="7989" w:hanging="567"/>
      </w:pPr>
      <w:rPr>
        <w:rFonts w:hint="default"/>
      </w:rPr>
    </w:lvl>
  </w:abstractNum>
  <w:num w:numId="1">
    <w:abstractNumId w:val="2"/>
  </w:num>
  <w:num w:numId="2">
    <w:abstractNumId w:val="1"/>
  </w:num>
  <w:num w:numId="3">
    <w:abstractNumId w:val="0"/>
  </w:num>
  <w:num w:numId="4">
    <w:abstractNumId w:val="5"/>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270E"/>
    <w:rsid w:val="000504B6"/>
    <w:rsid w:val="00310B2C"/>
    <w:rsid w:val="00310E2A"/>
    <w:rsid w:val="0032000C"/>
    <w:rsid w:val="00372608"/>
    <w:rsid w:val="006626F1"/>
    <w:rsid w:val="0076591C"/>
    <w:rsid w:val="008832F4"/>
    <w:rsid w:val="008D10BD"/>
    <w:rsid w:val="00B30488"/>
    <w:rsid w:val="00BC6F75"/>
    <w:rsid w:val="00D642D6"/>
    <w:rsid w:val="00E1270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6591C"/>
  </w:style>
  <w:style w:type="paragraph" w:styleId="Nadpis1">
    <w:name w:val="heading 1"/>
    <w:basedOn w:val="Normlny"/>
    <w:uiPriority w:val="9"/>
    <w:qFormat/>
    <w:pPr>
      <w:ind w:left="1286" w:hanging="663"/>
      <w:outlineLvl w:val="0"/>
    </w:pPr>
    <w:rPr>
      <w:rFonts w:ascii="Times New Roman" w:eastAsia="Times New Roman" w:hAnsi="Times New Roman"/>
      <w:b/>
      <w:bCs/>
      <w:sz w:val="28"/>
      <w:szCs w:val="28"/>
    </w:rPr>
  </w:style>
  <w:style w:type="paragraph" w:styleId="Nadpis2">
    <w:name w:val="heading 2"/>
    <w:basedOn w:val="Normlny"/>
    <w:uiPriority w:val="9"/>
    <w:unhideWhenUsed/>
    <w:qFormat/>
    <w:pPr>
      <w:spacing w:before="120"/>
      <w:ind w:left="1286" w:hanging="514"/>
      <w:outlineLvl w:val="1"/>
    </w:pPr>
    <w:rPr>
      <w:rFonts w:ascii="Times New Roman" w:eastAsia="Times New Roman" w:hAnsi="Times New Roman"/>
      <w:b/>
      <w:bCs/>
      <w:sz w:val="24"/>
      <w:szCs w:val="24"/>
    </w:rPr>
  </w:style>
  <w:style w:type="paragraph" w:styleId="Nadpis3">
    <w:name w:val="heading 3"/>
    <w:basedOn w:val="Normlny"/>
    <w:uiPriority w:val="9"/>
    <w:unhideWhenUsed/>
    <w:qFormat/>
    <w:pPr>
      <w:ind w:left="1286" w:hanging="432"/>
      <w:outlineLvl w:val="2"/>
    </w:pPr>
    <w:rPr>
      <w:rFonts w:ascii="Times New Roman" w:eastAsia="Times New Roman" w:hAnsi="Times New Roman"/>
      <w:b/>
      <w:bCs/>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spacing w:before="121"/>
      <w:ind w:left="1286"/>
    </w:pPr>
    <w:rPr>
      <w:rFonts w:ascii="Times New Roman" w:eastAsia="Times New Roman" w:hAnsi="Times New Roman"/>
      <w:sz w:val="20"/>
      <w:szCs w:val="20"/>
    </w:rPr>
  </w:style>
  <w:style w:type="paragraph" w:styleId="Odsekzoznamu">
    <w:name w:val="List Paragraph"/>
    <w:basedOn w:val="Normlny"/>
    <w:uiPriority w:val="1"/>
    <w:qFormat/>
  </w:style>
  <w:style w:type="paragraph" w:customStyle="1" w:styleId="TableParagraph">
    <w:name w:val="Table Paragraph"/>
    <w:basedOn w:val="Normlny"/>
    <w:uiPriority w:val="1"/>
    <w:qFormat/>
  </w:style>
  <w:style w:type="paragraph" w:styleId="Textpoznmkypodiarou">
    <w:name w:val="footnote text"/>
    <w:basedOn w:val="Normlny"/>
    <w:link w:val="TextpoznmkypodiarouChar"/>
    <w:uiPriority w:val="99"/>
    <w:semiHidden/>
    <w:unhideWhenUsed/>
    <w:rsid w:val="0076591C"/>
    <w:pPr>
      <w:ind w:left="1276" w:right="1134"/>
    </w:pPr>
    <w:rPr>
      <w:sz w:val="20"/>
      <w:szCs w:val="20"/>
    </w:rPr>
  </w:style>
  <w:style w:type="character" w:customStyle="1" w:styleId="TextpoznmkypodiarouChar">
    <w:name w:val="Text poznámky pod čiarou Char"/>
    <w:basedOn w:val="Predvolenpsmoodseku"/>
    <w:link w:val="Textpoznmkypodiarou"/>
    <w:uiPriority w:val="99"/>
    <w:semiHidden/>
    <w:rsid w:val="0076591C"/>
    <w:rPr>
      <w:sz w:val="20"/>
      <w:szCs w:val="20"/>
    </w:rPr>
  </w:style>
  <w:style w:type="character" w:styleId="Odkaznapoznmkupodiarou">
    <w:name w:val="footnote reference"/>
    <w:basedOn w:val="Predvolenpsmoodseku"/>
    <w:uiPriority w:val="99"/>
    <w:semiHidden/>
    <w:unhideWhenUsed/>
    <w:rsid w:val="000504B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6591C"/>
  </w:style>
  <w:style w:type="paragraph" w:styleId="Nadpis1">
    <w:name w:val="heading 1"/>
    <w:basedOn w:val="Normlny"/>
    <w:uiPriority w:val="9"/>
    <w:qFormat/>
    <w:pPr>
      <w:ind w:left="1286" w:hanging="663"/>
      <w:outlineLvl w:val="0"/>
    </w:pPr>
    <w:rPr>
      <w:rFonts w:ascii="Times New Roman" w:eastAsia="Times New Roman" w:hAnsi="Times New Roman"/>
      <w:b/>
      <w:bCs/>
      <w:sz w:val="28"/>
      <w:szCs w:val="28"/>
    </w:rPr>
  </w:style>
  <w:style w:type="paragraph" w:styleId="Nadpis2">
    <w:name w:val="heading 2"/>
    <w:basedOn w:val="Normlny"/>
    <w:uiPriority w:val="9"/>
    <w:unhideWhenUsed/>
    <w:qFormat/>
    <w:pPr>
      <w:spacing w:before="120"/>
      <w:ind w:left="1286" w:hanging="514"/>
      <w:outlineLvl w:val="1"/>
    </w:pPr>
    <w:rPr>
      <w:rFonts w:ascii="Times New Roman" w:eastAsia="Times New Roman" w:hAnsi="Times New Roman"/>
      <w:b/>
      <w:bCs/>
      <w:sz w:val="24"/>
      <w:szCs w:val="24"/>
    </w:rPr>
  </w:style>
  <w:style w:type="paragraph" w:styleId="Nadpis3">
    <w:name w:val="heading 3"/>
    <w:basedOn w:val="Normlny"/>
    <w:uiPriority w:val="9"/>
    <w:unhideWhenUsed/>
    <w:qFormat/>
    <w:pPr>
      <w:ind w:left="1286" w:hanging="432"/>
      <w:outlineLvl w:val="2"/>
    </w:pPr>
    <w:rPr>
      <w:rFonts w:ascii="Times New Roman" w:eastAsia="Times New Roman" w:hAnsi="Times New Roman"/>
      <w:b/>
      <w:bCs/>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spacing w:before="121"/>
      <w:ind w:left="1286"/>
    </w:pPr>
    <w:rPr>
      <w:rFonts w:ascii="Times New Roman" w:eastAsia="Times New Roman" w:hAnsi="Times New Roman"/>
      <w:sz w:val="20"/>
      <w:szCs w:val="20"/>
    </w:rPr>
  </w:style>
  <w:style w:type="paragraph" w:styleId="Odsekzoznamu">
    <w:name w:val="List Paragraph"/>
    <w:basedOn w:val="Normlny"/>
    <w:uiPriority w:val="1"/>
    <w:qFormat/>
  </w:style>
  <w:style w:type="paragraph" w:customStyle="1" w:styleId="TableParagraph">
    <w:name w:val="Table Paragraph"/>
    <w:basedOn w:val="Normlny"/>
    <w:uiPriority w:val="1"/>
    <w:qFormat/>
  </w:style>
  <w:style w:type="paragraph" w:styleId="Textpoznmkypodiarou">
    <w:name w:val="footnote text"/>
    <w:basedOn w:val="Normlny"/>
    <w:link w:val="TextpoznmkypodiarouChar"/>
    <w:uiPriority w:val="99"/>
    <w:semiHidden/>
    <w:unhideWhenUsed/>
    <w:rsid w:val="0076591C"/>
    <w:pPr>
      <w:ind w:left="1276" w:right="1134"/>
    </w:pPr>
    <w:rPr>
      <w:sz w:val="20"/>
      <w:szCs w:val="20"/>
    </w:rPr>
  </w:style>
  <w:style w:type="character" w:customStyle="1" w:styleId="TextpoznmkypodiarouChar">
    <w:name w:val="Text poznámky pod čiarou Char"/>
    <w:basedOn w:val="Predvolenpsmoodseku"/>
    <w:link w:val="Textpoznmkypodiarou"/>
    <w:uiPriority w:val="99"/>
    <w:semiHidden/>
    <w:rsid w:val="0076591C"/>
    <w:rPr>
      <w:sz w:val="20"/>
      <w:szCs w:val="20"/>
    </w:rPr>
  </w:style>
  <w:style w:type="character" w:styleId="Odkaznapoznmkupodiarou">
    <w:name w:val="footnote reference"/>
    <w:basedOn w:val="Predvolenpsmoodseku"/>
    <w:uiPriority w:val="99"/>
    <w:semiHidden/>
    <w:unhideWhenUsed/>
    <w:rsid w:val="000504B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www.ohchr.org/EN/HRBodies/CRP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9E9599-C57B-4C90-82D9-0A24909A8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10940</Words>
  <Characters>62363</Characters>
  <Application>Microsoft Office Word</Application>
  <DocSecurity>0</DocSecurity>
  <Lines>519</Lines>
  <Paragraphs>146</Paragraphs>
  <ScaleCrop>false</ScaleCrop>
  <HeadingPairs>
    <vt:vector size="2" baseType="variant">
      <vt:variant>
        <vt:lpstr>Názov</vt:lpstr>
      </vt:variant>
      <vt:variant>
        <vt:i4>1</vt:i4>
      </vt:variant>
    </vt:vector>
  </HeadingPairs>
  <TitlesOfParts>
    <vt:vector size="1" baseType="lpstr">
      <vt:lpstr>1806662</vt:lpstr>
    </vt:vector>
  </TitlesOfParts>
  <Company>VÚJE, a. s.</Company>
  <LinksUpToDate>false</LinksUpToDate>
  <CharactersWithSpaces>73157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1806662</dc:title>
  <dc:subject>CRPD/C/GC/6</dc:subject>
  <dc:creator>Generic Pdf eng</dc:creator>
  <cp:lastModifiedBy>Záhoráková Lucia</cp:lastModifiedBy>
  <cp:revision>2</cp:revision>
  <dcterms:created xsi:type="dcterms:W3CDTF">2018-11-16T07:57:00Z</dcterms:created>
  <dcterms:modified xsi:type="dcterms:W3CDTF">2018-11-16T07:57:00Z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2018-04-26T00:00:00Z</vt:filetime>
  </property>
  <property fmtid="{D5CDD505-2E9C-101B-9397-08002B2CF9AE}" pid="3" name="Creator">
    <vt:lpwstr>Microsoft® Word 2016</vt:lpwstr>
  </property>
  <property fmtid="{D5CDD505-2E9C-101B-9397-08002B2CF9AE}" pid="4" name="LastSaved">
    <vt:filetime>2018-10-25T00:00:00Z</vt:filetime>
  </property>
</Properties>
</file>