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pPr w:leftFromText="142" w:rightFromText="142" w:vertAnchor="page" w:horzAnchor="page" w:tblpX="1134" w:tblpY="284"/>
        <w:tblOverlap w:val="never"/>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1276"/>
        <w:gridCol w:w="2268"/>
        <w:gridCol w:w="3260"/>
        <w:gridCol w:w="2835"/>
      </w:tblGrid>
      <w:tr w:rsidR="00C9007B" w14:paraId="528F09BF" w14:textId="77777777" w:rsidTr="005E08DF">
        <w:trPr>
          <w:cantSplit/>
          <w:trHeight w:hRule="exact" w:val="851"/>
        </w:trPr>
        <w:tc>
          <w:tcPr>
            <w:tcW w:w="1276" w:type="dxa"/>
            <w:tcBorders>
              <w:bottom w:val="single" w:sz="4" w:space="0" w:color="auto"/>
            </w:tcBorders>
            <w:vAlign w:val="bottom"/>
          </w:tcPr>
          <w:p w14:paraId="46508C97" w14:textId="77777777" w:rsidR="00C9007B" w:rsidRDefault="00C9007B" w:rsidP="005E08DF">
            <w:pPr>
              <w:spacing w:after="80"/>
            </w:pPr>
          </w:p>
        </w:tc>
        <w:tc>
          <w:tcPr>
            <w:tcW w:w="2268" w:type="dxa"/>
            <w:tcBorders>
              <w:bottom w:val="single" w:sz="4" w:space="0" w:color="auto"/>
            </w:tcBorders>
            <w:vAlign w:val="bottom"/>
          </w:tcPr>
          <w:p w14:paraId="1B2E6502" w14:textId="77777777" w:rsidR="00C9007B" w:rsidRDefault="00C9007B" w:rsidP="005E08DF">
            <w:pPr>
              <w:spacing w:after="80" w:line="300" w:lineRule="exact"/>
              <w:rPr>
                <w:b/>
                <w:sz w:val="24"/>
                <w:szCs w:val="24"/>
              </w:rPr>
            </w:pPr>
            <w:r>
              <w:rPr>
                <w:sz w:val="28"/>
                <w:szCs w:val="28"/>
              </w:rPr>
              <w:t>Organizácia Spojených národov</w:t>
            </w:r>
          </w:p>
        </w:tc>
        <w:tc>
          <w:tcPr>
            <w:tcW w:w="6095" w:type="dxa"/>
            <w:gridSpan w:val="2"/>
            <w:tcBorders>
              <w:bottom w:val="single" w:sz="4" w:space="0" w:color="auto"/>
            </w:tcBorders>
            <w:vAlign w:val="bottom"/>
          </w:tcPr>
          <w:p w14:paraId="5DE5C3A2" w14:textId="77777777" w:rsidR="00C9007B" w:rsidRDefault="001E0D81" w:rsidP="001E0D81">
            <w:pPr>
              <w:suppressAutoHyphens w:val="0"/>
              <w:spacing w:after="20"/>
              <w:jc w:val="right"/>
            </w:pPr>
            <w:r>
              <w:rPr>
                <w:sz w:val="40"/>
              </w:rPr>
              <w:t>CRPD</w:t>
            </w:r>
            <w:r>
              <w:t>/C/GC/5</w:t>
            </w:r>
          </w:p>
        </w:tc>
      </w:tr>
      <w:tr w:rsidR="00C9007B" w14:paraId="75EF3817" w14:textId="77777777" w:rsidTr="005E08DF">
        <w:trPr>
          <w:cantSplit/>
          <w:trHeight w:hRule="exact" w:val="2835"/>
        </w:trPr>
        <w:tc>
          <w:tcPr>
            <w:tcW w:w="1276" w:type="dxa"/>
            <w:tcBorders>
              <w:top w:val="single" w:sz="4" w:space="0" w:color="auto"/>
              <w:bottom w:val="single" w:sz="12" w:space="0" w:color="auto"/>
            </w:tcBorders>
          </w:tcPr>
          <w:p w14:paraId="5475D3CE" w14:textId="77777777" w:rsidR="00C9007B" w:rsidRDefault="00C9007B" w:rsidP="005E08DF">
            <w:pPr>
              <w:spacing w:before="120"/>
              <w:jc w:val="center"/>
            </w:pPr>
            <w:r>
              <w:rPr>
                <w:noProof/>
                <w:lang w:eastAsia="sk-SK"/>
              </w:rPr>
              <w:drawing>
                <wp:inline distT="0" distB="0" distL="0" distR="0" wp14:anchorId="469759E4" wp14:editId="37604AFB">
                  <wp:extent cx="714375" cy="590550"/>
                  <wp:effectExtent l="0" t="0" r="9525"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4B637F" w14:textId="77777777" w:rsidR="00C9007B" w:rsidRDefault="00C9007B" w:rsidP="005E08DF">
            <w:pPr>
              <w:spacing w:before="120" w:line="380" w:lineRule="exact"/>
              <w:rPr>
                <w:b/>
                <w:sz w:val="34"/>
                <w:szCs w:val="40"/>
              </w:rPr>
            </w:pPr>
            <w:r>
              <w:rPr>
                <w:b/>
                <w:sz w:val="34"/>
                <w:szCs w:val="40"/>
              </w:rPr>
              <w:t>Dohovor o právach osôb</w:t>
            </w:r>
            <w:r>
              <w:rPr>
                <w:b/>
                <w:sz w:val="34"/>
                <w:szCs w:val="40"/>
              </w:rPr>
              <w:br/>
              <w:t>so zdravotným postihnutím</w:t>
            </w:r>
          </w:p>
          <w:p w14:paraId="3234DAED" w14:textId="77777777" w:rsidR="00C9007B" w:rsidRDefault="00C9007B" w:rsidP="005E08DF">
            <w:pPr>
              <w:spacing w:before="120" w:line="420" w:lineRule="exact"/>
            </w:pPr>
          </w:p>
        </w:tc>
        <w:tc>
          <w:tcPr>
            <w:tcW w:w="2835" w:type="dxa"/>
            <w:tcBorders>
              <w:top w:val="single" w:sz="4" w:space="0" w:color="auto"/>
              <w:bottom w:val="single" w:sz="12" w:space="0" w:color="auto"/>
            </w:tcBorders>
          </w:tcPr>
          <w:p w14:paraId="30BF7D22" w14:textId="77777777" w:rsidR="00C9007B" w:rsidRDefault="00EF30FD" w:rsidP="001E0D81">
            <w:pPr>
              <w:suppressAutoHyphens w:val="0"/>
              <w:spacing w:before="240" w:line="240" w:lineRule="exact"/>
            </w:pPr>
            <w:r>
              <w:t>Distribúcia: všeobecná</w:t>
            </w:r>
          </w:p>
          <w:p w14:paraId="3D303C52" w14:textId="77777777" w:rsidR="001E0D81" w:rsidRDefault="004B7484" w:rsidP="001E0D81">
            <w:pPr>
              <w:suppressAutoHyphens w:val="0"/>
            </w:pPr>
            <w:r>
              <w:t>27. októbra 2017</w:t>
            </w:r>
          </w:p>
          <w:p w14:paraId="7E86EDC0" w14:textId="77777777" w:rsidR="001E0D81" w:rsidRDefault="001E0D81" w:rsidP="001E0D81">
            <w:pPr>
              <w:suppressAutoHyphens w:val="0"/>
            </w:pPr>
          </w:p>
          <w:p w14:paraId="195BE865" w14:textId="77777777" w:rsidR="001E0D81" w:rsidRDefault="001E0D81" w:rsidP="001E0D81">
            <w:pPr>
              <w:suppressAutoHyphens w:val="0"/>
            </w:pPr>
            <w:r>
              <w:t>Pôvodný jazyk dokumentu: angličtina</w:t>
            </w:r>
          </w:p>
        </w:tc>
      </w:tr>
    </w:tbl>
    <w:p w14:paraId="7547BC8B" w14:textId="77777777" w:rsidR="00BC795F" w:rsidRPr="000006A3" w:rsidRDefault="00BC795F" w:rsidP="002468BC">
      <w:pPr>
        <w:spacing w:before="120"/>
        <w:rPr>
          <w:b/>
          <w:bCs/>
          <w:sz w:val="24"/>
          <w:szCs w:val="24"/>
        </w:rPr>
      </w:pPr>
      <w:r>
        <w:rPr>
          <w:b/>
          <w:bCs/>
          <w:sz w:val="24"/>
          <w:szCs w:val="24"/>
        </w:rPr>
        <w:t>Výbor pre práva osôb so zdravotným postihnutím</w:t>
      </w:r>
    </w:p>
    <w:p w14:paraId="5C1919CE" w14:textId="77777777" w:rsidR="00BC795F" w:rsidRPr="00EC43CE" w:rsidRDefault="00BC795F" w:rsidP="000737E2">
      <w:pPr>
        <w:pStyle w:val="HChG"/>
      </w:pPr>
      <w:r>
        <w:tab/>
      </w:r>
      <w:r>
        <w:tab/>
        <w:t>Všeobecný komentár č. 5 (2017) k nezávislému spôsobu života a začlenení do spoločnosti</w:t>
      </w:r>
    </w:p>
    <w:p w14:paraId="49FFD0AC" w14:textId="77777777" w:rsidR="00BC795F" w:rsidRPr="00EC43CE" w:rsidRDefault="00BC795F" w:rsidP="002468BC">
      <w:pPr>
        <w:pStyle w:val="HChG"/>
      </w:pPr>
      <w:r>
        <w:tab/>
        <w:t>I.</w:t>
      </w:r>
      <w:r>
        <w:tab/>
        <w:t>Úvod</w:t>
      </w:r>
    </w:p>
    <w:p w14:paraId="75F53258" w14:textId="77777777" w:rsidR="00BC795F" w:rsidRPr="00EC43CE" w:rsidRDefault="00BC795F" w:rsidP="00A44550">
      <w:pPr>
        <w:pStyle w:val="SingleTxtG"/>
      </w:pPr>
      <w:r>
        <w:t>1.</w:t>
      </w:r>
      <w:r>
        <w:tab/>
        <w:t>Osobám so zdravotným postihnutím sa historicky upierali osobná a samostatná voľba, ako aj kontrola vo všetkých oblastiach ich života. O mnohých sa predpokladalo, že nie sú schopní žiť nezávisle v spoločnosti, ktorú si sami vyberú. Podpora je buď nedostupná, alebo viazaná na konkrétne životné podmienky, pričom komunitná infraštruktúra nie je univerzálne navrhnutá. Prostriedky sa investujú do inštitúcií namiesto toho, aby sa radšej vložili do rozvoja možností osôb so zdravotným postihnutím žiť nezávisle v danej spoločnosti. Tieto skutočnosti viedli k opusteniu, závislosti od rodiny, inštitucionalizácii, izolácii a segregácii.</w:t>
      </w:r>
    </w:p>
    <w:p w14:paraId="5A994E55" w14:textId="595AE71B" w:rsidR="00BC795F" w:rsidRPr="00EC43CE" w:rsidRDefault="00BC795F" w:rsidP="00A44550">
      <w:pPr>
        <w:pStyle w:val="SingleTxtG"/>
      </w:pPr>
      <w:r>
        <w:t>2.</w:t>
      </w:r>
      <w:r>
        <w:tab/>
        <w:t>Článok 19 Dohovoru o právach osôb so zdravotným postihnutím uznáva rovnaké právo všetkých osôb so zdravotným postihnutím na nezávislý spôsob života a začlenenie do spoločnosti so slobodou voľby a kontroly vlastného života. Podstatou daného článku je základný princíp o ľudských právach, že všetky ľudské bytosti sa rodia rovnaké, čo sa týka ich dôstojnosti a práv a každý život je rovnako hodnotný.</w:t>
      </w:r>
    </w:p>
    <w:p w14:paraId="465EF02A" w14:textId="0F60D080" w:rsidR="00BC795F" w:rsidRPr="00EC43CE" w:rsidRDefault="00BC795F" w:rsidP="00A44550">
      <w:pPr>
        <w:pStyle w:val="SingleTxtG"/>
      </w:pPr>
      <w:r>
        <w:t>3.</w:t>
      </w:r>
      <w:r>
        <w:tab/>
        <w:t>V článku 19 sa zdôrazňuje, že osoby so zdravotným postihnutím sú subjektmi a držiteľmi práv. Všeobecné zásady Dohovoru (čl. 3), najmä rešpektovanie prirodzenej dôstojnosti, autonómie a nezávislosti jednotlivca (čl. 3 písm. a)), ako aj plné a účinné zapojenie a začlenenie do spoločnosti (čl. 3 písm. c)), sú základom práva na nezávislý život a začlenenie do spoločnosti. Ďalšie princípy zakotvené v dohovore sú tiež dôležité pre interpretáciu a uplatňovanie článku 19.</w:t>
      </w:r>
    </w:p>
    <w:p w14:paraId="43305A91" w14:textId="77777777" w:rsidR="00BC795F" w:rsidRPr="00EC43CE" w:rsidRDefault="00BC795F" w:rsidP="00A44550">
      <w:pPr>
        <w:pStyle w:val="SingleTxtG"/>
      </w:pPr>
      <w:r>
        <w:t>4.</w:t>
      </w:r>
      <w:r>
        <w:tab/>
        <w:t>Nezávislý spôsob života a začlenenie do spoločnosti sú myšlienky historicky pochádzajúce od osôb so zdravotným postihnutím, ktoré sa domáhali kontroly nad želaným spôsobom života, a to vytváraním posilňujúcich foriem podpory, ako napríklad osobná asistencia a požadovaním, aby boli komunitné zariadenia navrhnuté v súlade so zásadami univerzálneho dizajnu.</w:t>
      </w:r>
    </w:p>
    <w:p w14:paraId="310F4850" w14:textId="102B823D" w:rsidR="00BC795F" w:rsidRPr="00EC43CE" w:rsidRDefault="00BC795F" w:rsidP="00A44550">
      <w:pPr>
        <w:pStyle w:val="SingleTxtG"/>
      </w:pPr>
      <w:r>
        <w:t>5.</w:t>
      </w:r>
      <w:r>
        <w:tab/>
        <w:t>V preambule dohovoru zmluvné štáty uznávajú, že mnohé osoby so zdravotným postihnutím žijú v chudobe a zdôrazňujú potrebu riešiť jej dopad. Náklady na sociálne vylúčenie sú vysoké, pretože vedú k trvalej závislosti, a tým aj zasahovaniu do osobných slobôd. Sociálne vylúčenie vyvoláva tiež stigmu, segregáciu a diskrimináciu, ktoré môžu viesť k násiliu, vykorisťovaniu a zneužívaniu a navyše aj k negatívnym stereotypom, ktoré sa podieľajú na cykle marginalizácie osôb so zdravotným postihnutím. Politiky a konkrétne akčné plány v oblasti sociálneho začlenenia osôb so zdravotným postihnutím, a to aj prostredníctvom podpory ich práva na nezávislý spôsob života (čl. 19) predstavujú nákladovo efektívny mechanizmus na zabezpečenie využívania práv, trvalo udržateľného rozvoja a znižovania chudoby.</w:t>
      </w:r>
    </w:p>
    <w:p w14:paraId="32560486" w14:textId="77777777" w:rsidR="00BC795F" w:rsidRPr="00EC43CE" w:rsidRDefault="00BC795F" w:rsidP="00A44550">
      <w:pPr>
        <w:pStyle w:val="SingleTxtG"/>
      </w:pPr>
      <w:r>
        <w:lastRenderedPageBreak/>
        <w:t>6.</w:t>
      </w:r>
      <w:r>
        <w:tab/>
        <w:t>Cieľom tohto všeobecného komentára je pomáhať zmluvným štátom pri uplatňovaní článku 19 a plnení ich povinností vyplývajúcich z dohovoru. Ide predovšetkým o povinnosť zabezpečiť každému jednotlivcovi možnosť používať právo na nezávislý spôsob života a začlenenie do spoločnosti, ale aj o iné povinnosti súvisiace s ostatnými ustanoveniami dohovoru. Článok 19 je jedným z najrozsiahlejších a najčlenitejších článkov dohovoru a musí sa považovať za neoddeliteľnú súčasť jeho uplatňovania v plnom rozsahu.</w:t>
      </w:r>
    </w:p>
    <w:p w14:paraId="28F84BE4" w14:textId="6D5C5373" w:rsidR="00BC795F" w:rsidRPr="00EC43CE" w:rsidRDefault="00BC795F" w:rsidP="00A44550">
      <w:pPr>
        <w:pStyle w:val="SingleTxtG"/>
      </w:pPr>
      <w:r>
        <w:t>7.</w:t>
      </w:r>
      <w:r>
        <w:tab/>
        <w:t>Článok 19 stanovuje občianske a politické, ako aj hospodárske, sociálne a kultúrne práva, pričom je príkladom vzájomného vzťahu, vzájomnej závislosti a nedeliteľnosti všetkých ľudských práv. Právo na nezávislý spôsob života a začlenenie do spoločnosti možno uplatňovať len vtedy, ak sú splnené všetky hospodárske, občianske, sociálne a kultúrne práva zakotvené v tejto norme. Medzinárodné právne predpisy o ľudských právach ukladajú povinnosti, ktoré majú okamžitý účinok, ako aj iné, ktoré sa môžu realizovať postupne.</w:t>
      </w:r>
      <w:r w:rsidRPr="00C15829">
        <w:rPr>
          <w:rStyle w:val="Odkaznapoznmkupodiarou"/>
        </w:rPr>
        <w:footnoteReference w:id="1"/>
      </w:r>
      <w:r>
        <w:t xml:space="preserve"> Úplná realizácia si vyžaduje aj štrukturálne zmeny, ktoré sa musia v prípade potreby vykonať po etapách, či už ide o občianske a politické, alebo sociálne, hospodárske a kultúrne práva.</w:t>
      </w:r>
    </w:p>
    <w:p w14:paraId="5884410B" w14:textId="09FA5293" w:rsidR="00BC795F" w:rsidRPr="00EC43CE" w:rsidRDefault="00BC795F" w:rsidP="000737E2">
      <w:pPr>
        <w:pStyle w:val="SingleTxtG"/>
      </w:pPr>
      <w:r>
        <w:t>8.</w:t>
      </w:r>
      <w:r>
        <w:tab/>
        <w:t>Článok 19 odráža rôznorodosť kultúrnych prístupov k ľudskému životu a zaisťuje, aby dohovor obsahovo neuprednostňoval určité kultúrne normy a hodnoty. Nezávislý spôsob života a začlenenie do spoločnosti sú podstatou ľudského života na celom svete a týkajú sa aj ľudí so zdravotným postihnutím. Znamená to uplatňovanie slobody voľby a kontroly nad rozhodnutiami, ktoré ovplyvňujú ľudský život pomocou maximálnej úrovni sebaurčenia a vzájomnej závislosti v rámci spoločnosti. Dané právo sa musí efektívne vykonávať v rôznych hospodárskych, sociálnych, kultúrnych a politických súvislostiach. Právo na nezávislý spôsob života a začlenenie do spoločnosti sa vzťahuje na všetky osoby so zdravotným postihnutím bez ohľadu na rasu, farbu pleti, pôvod, pohlavie, graviditu a materstvo, občiansku, rodinnú alebo opatrovateľskú situáciu, sexuálnu identitu, sexuálnu orientáciu, jazyk, náboženstvo, politické alebo iné presvedčenie, národnostný, etnický, domorodý alebo sociálny pôvod, status migranta, žiadateľa o azyl alebo utečenca, príslušnosť k národnostnej menšine, ekonomickú alebo majetkovú situáciu, zdravotný stav, genetickú alebo inú predispozíciu na ochorenie, narodenie a vek, alebo akýkoľvek iný status.</w:t>
      </w:r>
    </w:p>
    <w:p w14:paraId="64C02D51" w14:textId="77777777" w:rsidR="00BC795F" w:rsidRPr="00EC43CE" w:rsidRDefault="00BC795F" w:rsidP="00A44550">
      <w:pPr>
        <w:pStyle w:val="SingleTxtG"/>
      </w:pPr>
      <w:r>
        <w:t>9.</w:t>
      </w:r>
      <w:r>
        <w:tab/>
        <w:t>Právo uvedené v článku 19 je hlboko zakorenené v medzinárodnom práve o ľudských právach. Všeobecná deklarácia ľudských práv zdôrazňuje v článku 29 ods. 1 vzájomnú závislosť medzi osobným rozvojom jednotlivca a sociálnym aspektom potreby začlenenia do spoločnosti: „Každý má povinnosti voči spoločnosti, v ktorej jedine môže slobodne a plne rozvinúť svoju osobnosť.“ Článok 19 vychádza z občianskych a politických, ako aj hospodárskych, sociálnych a kultúrnych práv, t.j. z práva na slobodu pohybu a slobodu voľby bydliska (článok 12 Medzinárodného paktu o občianskych a politických právach), práva na primeranú životnú úroveň, vrátane dostatočnej výživy, oblečenia a bývania (článok 11 Medzinárodného paktu o hospodárskych, sociálnych a kultúrnych právach) a základných komunikačných práv, ktoré sú základom práva na nezávislý spôsob života a začlenenie do spoločnosti. Sloboda pohybu, primeraná životná úroveň, ako aj schopnosť chápať a umožniť pochopenie preferencií, volieb a rozhodnutí iného sú nevyhnutným predpokladom ľudskej dôstojnosti a slobodného rozvoja človeka.</w:t>
      </w:r>
      <w:r w:rsidRPr="00C15829">
        <w:rPr>
          <w:rStyle w:val="Odkaznapoznmkupodiarou"/>
        </w:rPr>
        <w:footnoteReference w:id="2"/>
      </w:r>
      <w:r>
        <w:t xml:space="preserve"> </w:t>
      </w:r>
    </w:p>
    <w:p w14:paraId="3B9772F7" w14:textId="633E852D" w:rsidR="00BC795F" w:rsidRPr="00EC43CE" w:rsidRDefault="00BC795F" w:rsidP="00A44550">
      <w:pPr>
        <w:pStyle w:val="SingleTxtG"/>
      </w:pPr>
      <w:r>
        <w:t>10.</w:t>
      </w:r>
      <w:r>
        <w:tab/>
        <w:t>V Dohovore o odstránení všetkých foriem diskriminácie žien sa zdôrazňuje rovnosť medzi ženami a mužmi a odsudzuje diskriminácia žien v akejkoľvek forme (čl. 1). Tento dohovor opätovne presadzuje rovnosť medzi ženami a mužmi, pokiaľ ide o právne záležitosti, vrátane právnej spôsobilosti a možností jej uplatnenia (čl. 15 ods. 2). Takisto od zmluvných štátov požaduje, aby uznali rovnaké práva vo vnútroštátnych právnych predpisoch týkajúcich sa pohybu osôb a slobody voľby ich obydlia a bydliska (čl. 15 ods. 4).</w:t>
      </w:r>
    </w:p>
    <w:p w14:paraId="3C222ED8" w14:textId="7087FCE4" w:rsidR="00BC795F" w:rsidRPr="00EC43CE" w:rsidRDefault="00BC795F" w:rsidP="00A44550">
      <w:pPr>
        <w:pStyle w:val="SingleTxtG"/>
      </w:pPr>
      <w:r>
        <w:lastRenderedPageBreak/>
        <w:t>11.</w:t>
      </w:r>
      <w:r>
        <w:tab/>
        <w:t>Článok 9 ods. 1 Dohovoru o právach dieťaťa od zmluvných štátov vyžaduje „zabezpečiť, aby dieťa nebolo oddelené od svojich rodičov proti ich vôli s výnimkou prípadov, keď príslušné orgány na základe súdneho preskúmania a v súlade s platnými právnymi predpismi a postupmi rozhodnú, že takéto oddelenie je nevyhnutné v najlepšom záujme dieťaťa“. Zmluvné štáty „poskytnú rodičom a zákonným zástupcom primeranú pomoc pri výkone ich povinností spojených s výchovou detí“, ako zaručuje článok 18 ods. 2. Okrem toho článok 20 ods. 1 stanovuje, že „dieťa, ktoré bude dočasne alebo trvalo pozbavené svojho rodinného prostredia alebo nemôže zostať v tomto prostredí v jeho najlepšom záujme, má právo na zvláštnu ochranu a podporu zo strany zmluvného štátu“ a článok 20 ods. 2 požaduje, aby „zmluvné štáty v súlade so svojimi vnútroštátnymi právnymi predpismi zabezpečili náhradnú starostlivosť o takéto dieťa“. Náhradná starostlivosť poskytovaná na základe zdravotného postihnutia by bola diskriminačná.</w:t>
      </w:r>
    </w:p>
    <w:p w14:paraId="066BE864" w14:textId="77777777" w:rsidR="00BC795F" w:rsidRPr="00EC43CE" w:rsidRDefault="00BC795F" w:rsidP="00A44550">
      <w:pPr>
        <w:pStyle w:val="SingleTxtG"/>
      </w:pPr>
      <w:r>
        <w:t>12.</w:t>
      </w:r>
      <w:r>
        <w:tab/>
        <w:t>Článok 23 ods. 1 ďalej stanovuje, že všetky deti so zdravotným postihnutím by mali mať dôstojný život v podmienkach, ktoré zabezpečujú sebestačnosť a uľahčujú aktívne zapojenie do spoločnosti. Výbor pre práva dieťaťa vyjadril znepokojenie nad vysokým počtom detí so zdravotným postihnutím umiestnených v ústavnej starostlivosti a vyzval zmluvné štáty, aby prostredníctvom programov deinštitucionalizácie podporili ich schopnosť žiť vo svojej rodine, rozšírenej rodine alebo pestúnskej starostlivosti.</w:t>
      </w:r>
      <w:r w:rsidRPr="00C15829">
        <w:rPr>
          <w:rStyle w:val="Odkaznapoznmkupodiarou"/>
        </w:rPr>
        <w:footnoteReference w:id="3"/>
      </w:r>
      <w:r>
        <w:t xml:space="preserve"> </w:t>
      </w:r>
    </w:p>
    <w:p w14:paraId="74BF0896" w14:textId="2BFDA619" w:rsidR="00BC795F" w:rsidRPr="00EC43CE" w:rsidRDefault="00BC795F" w:rsidP="00A44550">
      <w:pPr>
        <w:pStyle w:val="SingleTxtG"/>
      </w:pPr>
      <w:r>
        <w:t>13.</w:t>
      </w:r>
      <w:r>
        <w:tab/>
        <w:t>Rovnosť a nediskriminácia sú základnými princípmi medzinárodných právnych predpisov o ľudských právach, pričom sú zakotvené vo všetkých zásadných dokumentoch o ľudských právach. Vo svojom Všeobecnom komentári č. 5 (1994) o osobách so zdravotným postihnutím Výbor pre hospodárske, sociálne a kultúrne práva zdôrazňuje, že „segregácia a izolácia spôsobené zavedením sociálnych bariér“ sa považujú za diskrimináciu. Okrem toho v súvislosti s článkom 11 zdôrazňuje, že právo na primeranú životnú úroveň zahŕňa nielen rovnocenný prístup k dostatočnej výžive, prístupnému bývaniu a iným základným materiálnym požiadavkám, ale aj dostupnosť podporných služieb, kompenzačných pomôcok a technológií, ktoré plne rešpektujú ľudské práva osôb so zdravotným postihnutím.</w:t>
      </w:r>
    </w:p>
    <w:p w14:paraId="5FB94E8A" w14:textId="3CD9DCE2" w:rsidR="00BC795F" w:rsidRPr="00EC43CE" w:rsidRDefault="00BC795F" w:rsidP="00A44550">
      <w:pPr>
        <w:pStyle w:val="SingleTxtG"/>
      </w:pPr>
      <w:r>
        <w:t>14.</w:t>
      </w:r>
      <w:r>
        <w:tab/>
        <w:t>Okrem toho musí znenie Článku 19 a tohto všeobecného komentára usmerňovať a podporovať implementáciu Novej mestskej agendy prijatej na konferencii Organizácie Spojených národov o otázkach bývania a udržateľnom rozvoji miest (Habitat III) ako neoddeliteľnej súčasti Programu trvalo udržateľného rozvoja do roku 2030 a cieľov trvalo udržateľného rozvoja. Táto Nová mestská agenda obhajuje víziu miest a ľudských osídlení, v ktorých môžu mať všetky osoby rovnaké práva a príležitosti podporovaním inkluzívnych, náležitých, bezpečných, zdraviu prospešných, prístupných, cenovo dostupných, odolných a udržateľných mies</w:t>
      </w:r>
      <w:r w:rsidR="002D5890">
        <w:t>t</w:t>
      </w:r>
      <w:r>
        <w:t xml:space="preserve"> a ľudských osídlení. V súvislosti s článkom 19 dohovoru sú obzvlášť dôležité ciele trvalo udržateľného rozvoja č. 10.2 (posilnenie a podpora sociálneho, hospodárskeho a politického začlenenia všetkých osôb) a č. 11.1 (zaistenie prístupu k primeranému, bezpečnému a cenovo dostupnému bývaniu a cenovo dostupným službám všetkým osobám).</w:t>
      </w:r>
    </w:p>
    <w:p w14:paraId="6306DB46" w14:textId="77777777" w:rsidR="00BC795F" w:rsidRPr="00EC43CE" w:rsidRDefault="00BC795F" w:rsidP="00A44550">
      <w:pPr>
        <w:pStyle w:val="SingleTxtG"/>
      </w:pPr>
      <w:r>
        <w:t>15.</w:t>
      </w:r>
      <w:r>
        <w:tab/>
        <w:t>V poslednom desaťročí zaznamenal Výbor pre práva osôb so zdravotným postihnutím pokrok pri uplatňovaní článku 19. Registruje však aj rozdiel medzi cieľmi a zmyslom článku 19 a rozsahom jeho uplatňovania. Nižšie sú uvedené niektoré pretrvávajúce bariéry:</w:t>
      </w:r>
    </w:p>
    <w:p w14:paraId="1916EFCA" w14:textId="77777777" w:rsidR="00BC795F" w:rsidRPr="00EC43CE" w:rsidRDefault="00DC5AF3" w:rsidP="00A44550">
      <w:pPr>
        <w:pStyle w:val="SingleTxtG"/>
      </w:pPr>
      <w:r>
        <w:tab/>
        <w:t>a)</w:t>
      </w:r>
      <w:r>
        <w:tab/>
        <w:t>odopieranie právnej spôsobilosti, a to buď prostredníctvom oficiálnych právnych predpisov a postupov alebo de facto systémom náhradného rozhodovania o životných podmienkach;</w:t>
      </w:r>
    </w:p>
    <w:p w14:paraId="1FF9C651" w14:textId="77777777" w:rsidR="00BC795F" w:rsidRPr="00EC43CE" w:rsidRDefault="00DC5AF3" w:rsidP="00A44550">
      <w:pPr>
        <w:pStyle w:val="SingleTxtG"/>
      </w:pPr>
      <w:r>
        <w:tab/>
        <w:t>b)</w:t>
      </w:r>
      <w:r>
        <w:tab/>
        <w:t>nedostatočná sociálna podpora a ochranné systémy na zaistenie nezávislého spôsobu života v rámci spoločnosti;</w:t>
      </w:r>
    </w:p>
    <w:p w14:paraId="4C39D22A" w14:textId="77777777" w:rsidR="00BC795F" w:rsidRPr="00EC43CE" w:rsidRDefault="00DC5AF3" w:rsidP="00A44550">
      <w:pPr>
        <w:pStyle w:val="SingleTxtG"/>
      </w:pPr>
      <w:r>
        <w:tab/>
        <w:t>c)</w:t>
      </w:r>
      <w:r>
        <w:tab/>
        <w:t>nedostatočné právne rámce a rozpočtové prostriedky určené na poskytovanie osobnej asistencie a individualizovanej podpory;</w:t>
      </w:r>
    </w:p>
    <w:p w14:paraId="61406CB3" w14:textId="77777777" w:rsidR="00BC795F" w:rsidRPr="00EC43CE" w:rsidRDefault="00DC5AF3" w:rsidP="00A44550">
      <w:pPr>
        <w:pStyle w:val="SingleTxtG"/>
      </w:pPr>
      <w:r>
        <w:lastRenderedPageBreak/>
        <w:tab/>
        <w:t>d)</w:t>
      </w:r>
      <w:r>
        <w:tab/>
        <w:t>fyzická a regulačná inštitucionalizácia, vrátane detí a nútenej liečby v akejkoľvek forme;</w:t>
      </w:r>
    </w:p>
    <w:p w14:paraId="7F96E7E4" w14:textId="77777777" w:rsidR="00BC795F" w:rsidRPr="00EC43CE" w:rsidRDefault="00DC5AF3" w:rsidP="00A44550">
      <w:pPr>
        <w:pStyle w:val="SingleTxtG"/>
      </w:pPr>
      <w:r>
        <w:tab/>
        <w:t>e)</w:t>
      </w:r>
      <w:r>
        <w:tab/>
        <w:t>nedostatok stratégií a plánov deinštitucionalizácie a pokračujúcich investícií do zariadení ústavnej starostlivosti;</w:t>
      </w:r>
    </w:p>
    <w:p w14:paraId="5B4B0000" w14:textId="77777777" w:rsidR="00BC795F" w:rsidRPr="00EC43CE" w:rsidRDefault="00DC5AF3" w:rsidP="00A44550">
      <w:pPr>
        <w:pStyle w:val="SingleTxtG"/>
      </w:pPr>
      <w:r>
        <w:tab/>
        <w:t>f)</w:t>
      </w:r>
      <w:r>
        <w:tab/>
        <w:t>negatívne postoje, stigmatizácia a stereotypy, ktoré bránia začleneniu osôb so zdravotným postihnutím do spoločnosti a ich prístupu k dostupnej pomoci;</w:t>
      </w:r>
    </w:p>
    <w:p w14:paraId="674BE8AC" w14:textId="77777777" w:rsidR="00BC795F" w:rsidRPr="00EC43CE" w:rsidRDefault="00DC5AF3" w:rsidP="00A44550">
      <w:pPr>
        <w:pStyle w:val="SingleTxtG"/>
      </w:pPr>
      <w:r>
        <w:tab/>
        <w:t>g)</w:t>
      </w:r>
      <w:r>
        <w:tab/>
        <w:t>mylné predstavy o práve na nezávislý spôsob života v rámci spoločnosti;</w:t>
      </w:r>
    </w:p>
    <w:p w14:paraId="662A052B" w14:textId="0CFB8EBD" w:rsidR="00BC795F" w:rsidRPr="00EC43CE" w:rsidRDefault="00DC5AF3" w:rsidP="00A44550">
      <w:pPr>
        <w:pStyle w:val="SingleTxtG"/>
      </w:pPr>
      <w:r>
        <w:tab/>
        <w:t>h)</w:t>
      </w:r>
      <w:r>
        <w:tab/>
        <w:t>nedostatok dosiahnuteľných, prijateľných, cenovo dostupných, prístupných a prispôsobiteľných služieb a zariadení, akými sú napríklad doprava, zdravotná starostlivosť, školy, verejné priestory, bývanie, divadlá, kiná, tovary, služby a verejné budovy;</w:t>
      </w:r>
    </w:p>
    <w:p w14:paraId="75153808" w14:textId="77777777" w:rsidR="00BC795F" w:rsidRPr="00EC43CE" w:rsidRDefault="00DC5AF3" w:rsidP="00A44550">
      <w:pPr>
        <w:pStyle w:val="SingleTxtG"/>
      </w:pPr>
      <w:r>
        <w:tab/>
        <w:t>i)</w:t>
      </w:r>
      <w:r>
        <w:tab/>
        <w:t>nedostatok adekvátnych monitorovacích mechanizmov na zabezpečenie primeraného uplatňovania článku 19, vrátane účasti zastupiteľských organizácií osôb so zdravotným postihnutím;</w:t>
      </w:r>
    </w:p>
    <w:p w14:paraId="4A137CF2" w14:textId="77777777" w:rsidR="00BC795F" w:rsidRPr="00EC43CE" w:rsidRDefault="00DC5AF3" w:rsidP="00A44550">
      <w:pPr>
        <w:pStyle w:val="SingleTxtG"/>
      </w:pPr>
      <w:r>
        <w:tab/>
        <w:t>j)</w:t>
      </w:r>
      <w:r>
        <w:tab/>
        <w:t xml:space="preserve">nedostatočné zohľadnenie zdravotného postihnutia pri prideľovaní prostriedkov zo všeobecného rozpočtu; </w:t>
      </w:r>
    </w:p>
    <w:p w14:paraId="68AD3B6F" w14:textId="299FAAD3" w:rsidR="00BC795F" w:rsidRPr="00EC43CE" w:rsidRDefault="00DC5AF3" w:rsidP="00A44550">
      <w:pPr>
        <w:pStyle w:val="SingleTxtG"/>
      </w:pPr>
      <w:r>
        <w:tab/>
        <w:t>k)</w:t>
      </w:r>
      <w:r>
        <w:tab/>
        <w:t>neprimeraná decentralizácia, ktorá vedie k rozdielom medzi miestnymi orgánmi a nerovnakým možnostiam na nezávislý spôsob života v rámci spoločnosti v zmluvnom štáte.</w:t>
      </w:r>
    </w:p>
    <w:p w14:paraId="58CE0443" w14:textId="77777777" w:rsidR="00BC795F" w:rsidRPr="00EC43CE" w:rsidRDefault="00BC795F" w:rsidP="00DC5AF3">
      <w:pPr>
        <w:pStyle w:val="HChG"/>
      </w:pPr>
      <w:r>
        <w:tab/>
        <w:t>II.</w:t>
      </w:r>
      <w:r>
        <w:tab/>
        <w:t>Normatívny obsah článku 19</w:t>
      </w:r>
    </w:p>
    <w:p w14:paraId="7286709A" w14:textId="77777777" w:rsidR="00BC795F" w:rsidRPr="00EC43CE" w:rsidRDefault="00BC795F" w:rsidP="00DC5AF3">
      <w:pPr>
        <w:pStyle w:val="H1G"/>
      </w:pPr>
      <w:r>
        <w:tab/>
        <w:t>A.</w:t>
      </w:r>
      <w:r>
        <w:tab/>
        <w:t>Definície</w:t>
      </w:r>
    </w:p>
    <w:p w14:paraId="2A9AC439" w14:textId="77777777" w:rsidR="00BC795F" w:rsidRPr="00EC43CE" w:rsidRDefault="00BC795F" w:rsidP="00A44550">
      <w:pPr>
        <w:pStyle w:val="SingleTxtG"/>
      </w:pPr>
      <w:r>
        <w:t>16.</w:t>
      </w:r>
      <w:r>
        <w:tab/>
        <w:t>V tomto Všeobecnom komentári platia nasledujúce definície:</w:t>
      </w:r>
    </w:p>
    <w:p w14:paraId="0E66975A" w14:textId="6D692309" w:rsidR="00BC795F" w:rsidRPr="00EC43CE" w:rsidRDefault="00DC5AF3" w:rsidP="00A44550">
      <w:pPr>
        <w:pStyle w:val="SingleTxtG"/>
      </w:pPr>
      <w:r>
        <w:tab/>
        <w:t>a)</w:t>
      </w:r>
      <w:r>
        <w:tab/>
      </w:r>
      <w:r>
        <w:rPr>
          <w:b/>
          <w:bCs/>
        </w:rPr>
        <w:t>Nezávislý spôsob života</w:t>
      </w:r>
      <w:r>
        <w:t>. Nezávislý spôsob života/samostatný život znamená, že osoby so zdravotným postihnutím majú k dispozícii všetky potrebné prostriedky, ktoré im umožnia voliť si a kontrolovať vlastný život a vykonávať všetky s tým súvisiace rozhodnutia. Osobná autonómia a sebaurčenie sú základom nezávislého spôsobu života, vrátane prístupu k doprave, informáciám, komunikácii a osobnej asistencii, bydliska, každodenných postupov, zvykov, slušného zamestnania, osobných vzťahov, oblečenia, výživy, hygieny a zdravotnej starostlivosti, náboženských a kultúrnych aktivít, ako aj sexuálnych a reprodukčných práv. Tieto aktivity súvisia s rozvojom identity a osobnosti človeka: kde žijeme a s kým, čo jeme, či chceme v noci spať alebo si ísť radšej ľahnúť oveľa neskôr, či chceme byť vo vnútri alebo vonku, mať na stole obrus a sviečky, chovať domáce zvieratá alebo počúvať hudbu. Tieto činy a rozhodnutia určujú, kto sme. Nezávislý spôsob života je nevyhnutnou súčasťou autonómie a slobody jednotlivca, avšak nemusí nutne znamenať život osamote. Takisto nemožno daný spôsob života interpretovať výlučne ako schopnosť vykonávať každodenné aktivity bez cudzej pomoci. Mal by sa skôr považovať za slobodu voľby a kontroly v súlade s rešpektovaním prirodzenej dôstojnosti a osobnej autonómie, ako je uvedené v článku 3 písm. a) dohovoru. Nezávislosť ako forma osobnej autonómie znamená, že osoba so zdravotným postihnutím nie je zbavená možnosti voľby a kontroly, pokiaľ ide o jej vlastný životný štýl a každodenné činnosti;</w:t>
      </w:r>
    </w:p>
    <w:p w14:paraId="10C9069B" w14:textId="75720DEC" w:rsidR="00BC795F" w:rsidRPr="00EC43CE" w:rsidRDefault="00DC5AF3" w:rsidP="00A44550">
      <w:pPr>
        <w:pStyle w:val="SingleTxtG"/>
      </w:pPr>
      <w:r>
        <w:tab/>
        <w:t>b)</w:t>
      </w:r>
      <w:r>
        <w:tab/>
      </w:r>
      <w:r>
        <w:rPr>
          <w:b/>
          <w:bCs/>
        </w:rPr>
        <w:t>Začlenenie do spoločnosti</w:t>
      </w:r>
      <w:r>
        <w:t xml:space="preserve">. Právo na začlenenie do spoločnosti sa týka zásady plného a účinného začlenenia a zapojenia do spoločnosti, ako je (okrem iného) uvedené v článku 3 písm. c) dohovoru. Zahŕňa riadny spoločenský život a prístup ku všetkým službám ponúkaným verejnosti a podporným službám ponúkaným osobám so zdravotným postihnutím, ktoré im umožnia plné začlenenie a zapojenie do všetkých sfér spoločenského života. Tieto služby môžu okrem iného súvisieť s bývaním, dopravou, nakupovaním, vzdelávaním, zamestnaním, rekreačnými aktivitami a všetkými ostatnými zariadeniami a službami ponúkanými verejnosti, vrátane sociálnych médií. Toto právo obsahuje aj prístup ku všetkým opatreniam a udalostiam politického a kultúrneho života v danej spoločnosti, okrem iného aj verejné stretnutia, športové podujatia, kultúrne a </w:t>
      </w:r>
      <w:r>
        <w:lastRenderedPageBreak/>
        <w:t>náboženské festivaly a všetky ďalšie aktivity, ktorých sa chce osoba s postihnutím zúčastniť;</w:t>
      </w:r>
    </w:p>
    <w:p w14:paraId="0B0F108C" w14:textId="338D081A" w:rsidR="00BC795F" w:rsidRPr="00EC43CE" w:rsidRDefault="00DC5AF3" w:rsidP="00A44550">
      <w:pPr>
        <w:pStyle w:val="SingleTxtG"/>
      </w:pPr>
      <w:r>
        <w:tab/>
        <w:t>c)</w:t>
      </w:r>
      <w:r>
        <w:tab/>
      </w:r>
      <w:r>
        <w:rPr>
          <w:b/>
          <w:bCs/>
        </w:rPr>
        <w:t>Podmienky na nezávislý život</w:t>
      </w:r>
      <w:r>
        <w:t xml:space="preserve">. Nezávislý spôsob života a začlenenie do spoločnosti poukazujú na prostredia a životné podmienky mimo akýchkoľvek pobytových zariadení. Nie je to „len“ o živote v konkrétnej budove alebo prostredí. V prvom rade ide o to, aby tieto osoby neprišli o možnosť voľby a osobnú autonómiu v dôsledku zavedenia určitých životných podmienok. Žiadne rozsiahle ústavy s viac ako sto umiestnenými osobami, ani menšie skupinové domovy s piatimi až ôsmimi jednotlivcami, dokonca ani individuálne domovy sa nemôžu nazývať prostredím či </w:t>
      </w:r>
      <w:r w:rsidRPr="00A5202C">
        <w:t>podmienkami</w:t>
      </w:r>
      <w:r>
        <w:t xml:space="preserve"> na nezávislý spôsob života, ak majú iné definujúce prvky zariadení alebo inštitucionalizácie. Aj keď sa zariadenia ústavnej starostlivosti môžu líšiť veľkosťou, názvom a spôsobom usporiadania, existujú určité definujúce prvky, ako napríklad povinné zdieľanie asistentov s inými osobami a žiadny, príp. obmedzený vplyv na to, od koho musí osoba prijať asistenciu, segregácia a izolácia od nezávislého života v rámci spoločnosti, nedostatok kontroly nad každodennými rozhodnutiami, nedostatočná možnosť zvoliť </w:t>
      </w:r>
      <w:bookmarkStart w:id="0" w:name="_GoBack"/>
      <w:bookmarkEnd w:id="0"/>
      <w:r>
        <w:t>si spolubývajúcich, neprispôsobivosť bežných rutinných postupov bez ohľadu na osobnú vôľu a preferencie, rovnaké činnosti na tom istom mieste pre skupinu osôb patriacich do právomoci určitého orgánu, paternalistický prístup k poskytovaniu služieb, dohľad nad životnými podmienkami a zvyčajne aj neprimeraný počet osôb so zdravotným postihnutím žijúcich v rovnakom prostredí. Zariadenia ústavnej starostlivosti môžu ponúkať osobám so zdravotným postihnutím určitý stupeň voľby a kontroly. Tieto sa však týkajú len určitých oblastí života a nemenia segregačný charakter ústavných zariadení. Politiky deinštitucionalizácie si preto vyžadujú zavedenie štrukturálnych reforiem, ktoré presahujú hranice ústavného prostredia. Veľké alebo malé skupinové domovy sú obzvlášť nebezpečné pre tie deti, ktorých potrebu vyrastať s rodinou nie je možné nahradiť. „Ústavy podobné rodinnému prostrediu“ sú stále len ústavnými zariadeniami, a preto sa rodinnej starostlivosti nikdy nemôžu vyrovnať;</w:t>
      </w:r>
    </w:p>
    <w:p w14:paraId="5BFA9317" w14:textId="77777777" w:rsidR="00BC795F" w:rsidRPr="00EC43CE" w:rsidRDefault="00DC5AF3" w:rsidP="00E365B8">
      <w:pPr>
        <w:pStyle w:val="SingleTxtG"/>
      </w:pPr>
      <w:r>
        <w:tab/>
        <w:t>d)</w:t>
      </w:r>
      <w:r>
        <w:tab/>
      </w:r>
      <w:r>
        <w:rPr>
          <w:b/>
          <w:bCs/>
        </w:rPr>
        <w:t>Osobná asistencia</w:t>
      </w:r>
      <w:r>
        <w:t xml:space="preserve">. Pod osobnou asistenciou sa rozumie ľudská podpora riadená osobou/používateľom, ktorú má osoba so zdravotným postihnutím k dispozícii, pričom pre ňu predstavuje prostriedok na nezávislý život. Aj keď sú spôsoby osobnej asistencie rôzne, existujú určité prvky, ktoré ju odlišujú od iných druhov osobnej pomoci, a to: </w:t>
      </w:r>
    </w:p>
    <w:p w14:paraId="36E9B717" w14:textId="447CA08A" w:rsidR="00BC795F" w:rsidRPr="00EC43CE" w:rsidRDefault="00BC795F" w:rsidP="006E6CE4">
      <w:pPr>
        <w:pStyle w:val="SingleTxtG"/>
        <w:ind w:left="1701"/>
      </w:pPr>
      <w:r>
        <w:t>(i)</w:t>
      </w:r>
      <w:r>
        <w:tab/>
        <w:t>Prostriedky na financovanie osobnej asistencie sa musia poskytnúť na základe kritérií prispôsobených individuálnym potrebám a zohľadňovať normy pre dôstojné zamestnanie vychádzajúce z ľudských práv. Tieto finančné prostriedky majú byť v správe a byť pridelené osobe so zdravotným postihnutím za účelom úhrady každej požadovanej asistencie. Závisí to od vyhodnotenia individuálnych potrieb a individuálnych životných okolností. Individualizované služby (t.</w:t>
      </w:r>
      <w:r w:rsidR="00623998">
        <w:t xml:space="preserve"> </w:t>
      </w:r>
      <w:r>
        <w:t>j. služby prispôsobené individuálnym potrebám) nesmú mať za následok zníženie rozpočtu a/alebo zvýšenie osobných platieb;</w:t>
      </w:r>
    </w:p>
    <w:p w14:paraId="3F21D01D" w14:textId="507B0554" w:rsidR="00BC795F" w:rsidRPr="00EC43CE" w:rsidRDefault="00BC795F" w:rsidP="006E6CE4">
      <w:pPr>
        <w:pStyle w:val="SingleTxtG"/>
        <w:ind w:left="1701"/>
      </w:pPr>
      <w:r>
        <w:t>(ii)</w:t>
      </w:r>
      <w:r>
        <w:tab/>
        <w:t>Poskytovanie danej služby si musí riadiť osoba so zdravotným postihnutím, to znamená, že môže na danú službu uzatvoriť zmluvu s rôznymi poskytovateľmi alebo konať z pozície zamestnávateľa. Osoby so zdravotným postihnutím si môžu vybrať vlastnú koncepciu služby, t.</w:t>
      </w:r>
      <w:r w:rsidR="00484853">
        <w:t xml:space="preserve"> </w:t>
      </w:r>
      <w:r>
        <w:t>j. navrhnúť si ju a určiť, kto, ako, kedy, kde a akým spôsobom ju bude poskytovať a zároveň inštruovať a usmerňovať jej poskytovateľov;</w:t>
      </w:r>
    </w:p>
    <w:p w14:paraId="0F39AB73" w14:textId="7C27B8D4" w:rsidR="00BC795F" w:rsidRPr="00EC43CE" w:rsidRDefault="00BC795F" w:rsidP="006E6CE4">
      <w:pPr>
        <w:pStyle w:val="SingleTxtG"/>
        <w:ind w:left="1701"/>
      </w:pPr>
      <w:r>
        <w:t>(iii)</w:t>
      </w:r>
      <w:r>
        <w:tab/>
        <w:t>Osobná asistencia je vzájomný vzťah. Osobných asistentov musí prijať, vyškoliť a viesť osoba, ktorej sa osobná asistencia poskytuje. Osobní asistenti by sa nemali „zdieľať“ bez plného a slobodne udeleného súhlasu osoby, ktorej sa osobná asistencia poskytuje. Zdieľanie osobných asistentov môže potenciálne obmedziť a sťažovať samovoľnú a spontánnu účasť v spoločnosti;</w:t>
      </w:r>
    </w:p>
    <w:p w14:paraId="3273161F" w14:textId="1A883DFC" w:rsidR="00BC795F" w:rsidRPr="00EC43CE" w:rsidRDefault="00BC795F" w:rsidP="006E6CE4">
      <w:pPr>
        <w:pStyle w:val="SingleTxtG"/>
        <w:ind w:left="1701"/>
      </w:pPr>
      <w:r>
        <w:t>(iv)</w:t>
      </w:r>
      <w:r>
        <w:tab/>
        <w:t>Vlastné riadenie poskytovania služieb. Osoby so zdravotným postihnutím, ktoré požadujú osobnú asistenciu, sa môžu slobodne rozhodnúť pre mieru vlastnej kontroly nad poskytovaním služieb podľa svojich životných podmienok a preferencií. Dokonca aj vtedy, keď povinnosti zamestnávateľa zmluvne preberá externý dodávateľ, je osoba so zdravotným postihnutím neustále ústredným bodom rozhodnutí o asistencii, t.</w:t>
      </w:r>
      <w:r w:rsidR="00484853">
        <w:t xml:space="preserve"> </w:t>
      </w:r>
      <w:r>
        <w:t xml:space="preserve">j. zostáva aj naďalej osobou, ktorej sa musia adresovať </w:t>
      </w:r>
      <w:r>
        <w:lastRenderedPageBreak/>
        <w:t>všetky otázky a ktorej individuálne preferencie je potrebné rešpektovať. Kontrolu poskytovania osobnej asistencie možno vykonávať prostredníctvom podporovaného rozhodovania.</w:t>
      </w:r>
    </w:p>
    <w:p w14:paraId="042477B6" w14:textId="1AEA9008" w:rsidR="00BC795F" w:rsidRPr="00EC43CE" w:rsidRDefault="00BC795F" w:rsidP="00A44550">
      <w:pPr>
        <w:pStyle w:val="SingleTxtG"/>
      </w:pPr>
      <w:r>
        <w:t>17.</w:t>
      </w:r>
      <w:r>
        <w:tab/>
        <w:t>Pri opise svojich podporných služieb poskytovatelia často nesprávne používajú pojmi ako „nezávislý“ alebo „komunitný život“ a „osobná asistencia“, aj keď v skutočnosti tieto služby nespĺňajú požiadavky stanovené v článku 19. Povinné „balíkové riešenia“, ktoré okrem iného spájajú dostupnosť jednej konkrétnej služby s dostupnosťou druhej, očakávajú vzájomné spolužitie dvoch alebo viacerých osôb alebo sa môžu poskytovať len v osobitných životných podmienkach, nie sú v súlade s článkom 19. Pojem osobnej asistencie, pri ktorej osobe so zdravotným postihnutím chýbajú maximálne sebaurčenie a sebakontrola, sa musia považovať za nezlučiteľné s článkom 19. Osobám so zložitými komunikačnými požiadavkami, vrátane tých, ktoré používajú neformálne komunikačné prostriedky (t.</w:t>
      </w:r>
      <w:r w:rsidR="00484853">
        <w:t xml:space="preserve"> </w:t>
      </w:r>
      <w:r>
        <w:t>j. komunikácia prostredníctvom nereprezentačných prostriedkov, vrátane výrazu tváre, postavenia tela a slovného vyjadrenia) sa musí poskytnúť primeraná podpora umožňujúca rozvíjanie a sprostredkovanie vlastných pokynov, rozhodnutí, volieb a/alebo preferencií, ako aj ich uznanie a rešpektovanie.</w:t>
      </w:r>
    </w:p>
    <w:p w14:paraId="0611296F" w14:textId="77777777" w:rsidR="00BC795F" w:rsidRPr="00EC43CE" w:rsidRDefault="00BC795F" w:rsidP="006F0BD3">
      <w:pPr>
        <w:pStyle w:val="H1G"/>
      </w:pPr>
      <w:r>
        <w:tab/>
        <w:t>B.</w:t>
      </w:r>
      <w:r>
        <w:tab/>
        <w:t>Článok 19, úvod</w:t>
      </w:r>
    </w:p>
    <w:p w14:paraId="5B6F3029" w14:textId="33A455DA" w:rsidR="00BC795F" w:rsidRPr="00EC43CE" w:rsidRDefault="00BC795F" w:rsidP="00A44550">
      <w:pPr>
        <w:pStyle w:val="SingleTxtG"/>
      </w:pPr>
      <w:r>
        <w:t>18.</w:t>
      </w:r>
      <w:r>
        <w:tab/>
        <w:t>Článok 19 opätovne zdôrazňuje nediskrimináciu a uznanie rovnakého práva osôb so zdravotným postihnutím na nezávislý spôsob života v spoločnosti. V záujme výkonu práva na nezávislý spôsob života s rovnakými možnosťami voľby, ako majú ostatní, vrátane začlenenia do spoločnosti musia zmluvné štáty prijať účinné a primerané opatrenia, aby umožnili plné užívanie tohto práva osobami so zdravotným postihnutím a ich plné začlenenie a zapojenie do spoločnosti.</w:t>
      </w:r>
    </w:p>
    <w:p w14:paraId="53976E82" w14:textId="427E68F5" w:rsidR="00BC795F" w:rsidRPr="00EC43CE" w:rsidRDefault="00BC795F" w:rsidP="00A44550">
      <w:pPr>
        <w:pStyle w:val="SingleTxtG"/>
      </w:pPr>
      <w:r>
        <w:t>19.</w:t>
      </w:r>
      <w:r>
        <w:tab/>
        <w:t>Tento článok sa zaoberá dvomi pojmami, ktoré sú jasne uvedené v jeho názve: právo na nezávislý spôsob života a právo na začlenenie do spoločnosti. Zatiaľ čo právo na nezávislý spôsob života sa týka individuálneho rozmeru, t.</w:t>
      </w:r>
      <w:r w:rsidR="00095CD3">
        <w:t xml:space="preserve"> </w:t>
      </w:r>
      <w:r>
        <w:t>j. zahŕňa právo na oslobodenie sa jednotlivca bez odopierania jeho prístupu a možností, právo na začlenenie do spoločnosti má sociálny rozmer, t.</w:t>
      </w:r>
      <w:r w:rsidR="00484853">
        <w:t xml:space="preserve"> </w:t>
      </w:r>
      <w:r>
        <w:t>j. ide o pozitívne právo na vytvorenie inkluzívneho prostredia. Právo v znení podľa článku 19 zahŕňa obidva pojmy.</w:t>
      </w:r>
    </w:p>
    <w:p w14:paraId="7377545B" w14:textId="068D53E7" w:rsidR="00BC795F" w:rsidRPr="00EC43CE" w:rsidRDefault="00BC795F" w:rsidP="00A44550">
      <w:pPr>
        <w:pStyle w:val="SingleTxtG"/>
      </w:pPr>
      <w:r>
        <w:t>20.</w:t>
      </w:r>
      <w:r>
        <w:tab/>
        <w:t>Článok 19 výslovne odkazuje na všetky osoby so zdravotným postihnutím. Ani úplné či čiastočné zbavenie akéhokoľvek „rozsahu“ právnej spôsobilosti, ani požadovanú úroveň podpory nemožno použiť na odopretie alebo obmedzenie práva osôb so zdravotným postihnutím na nezávislosť a nezávislý spôsob života v spoločnosti.</w:t>
      </w:r>
    </w:p>
    <w:p w14:paraId="43EC0CD0" w14:textId="76D870AC" w:rsidR="00BC795F" w:rsidRPr="00EC43CE" w:rsidRDefault="00BC795F" w:rsidP="00A44550">
      <w:pPr>
        <w:pStyle w:val="SingleTxtG"/>
      </w:pPr>
      <w:r>
        <w:t>21.</w:t>
      </w:r>
      <w:r>
        <w:tab/>
        <w:t>V prípade, že sa osoby so zdravotným postihnutím posudzujú ako osoby vyžadujúce vysokú úroveň osobnej služby, zmluvné štáty často považujú ústavné zariadenia za jediné riešenie, najmä ak sa osobné služby považujú za „príliš nákladné“ alebo sa osoba so zdravotným postihnutím pokladá za „neschopnú“ žiť mimo ústavného zariadenia. Osoby s mentálnym postihnutím, najmä tie, ktoré majú náročné komunikačné požiadavky, sa okrem iného často posudzujú ako osoby neschopné žiť mimo ústavného zariadenia. Takéto odôvodnenie je v rozpore s článkom 19, ktorý rozširuje právo na nezávislý spôsob života a začlenenie do spoločnosti na všetky osoby so zdravotným postihnutím bez ohľadu na úroveň ich mentálnej spôsobilosti, rozsah samostatného fungovania alebo podporných požiadaviek.</w:t>
      </w:r>
    </w:p>
    <w:p w14:paraId="51B454D0" w14:textId="686779AF" w:rsidR="00BC795F" w:rsidRPr="00EC43CE" w:rsidRDefault="00BC795F" w:rsidP="00A44550">
      <w:pPr>
        <w:pStyle w:val="SingleTxtG"/>
      </w:pPr>
      <w:r>
        <w:t>22.</w:t>
      </w:r>
      <w:r>
        <w:tab/>
        <w:t>Všetky osoby so zdravotným postihnutím by sa mali môcť slobodne rozhodnúť, či chcú viesť aktívny život a prináležať k určitým kultúram podľa vlastného výberu, pričom musia disponovať rovnakou mierou voľby a kontroly nad vlastným životom, ako majú ostatní členovia danej spoločnosti. Nezávislý spôsob života je nezlučiteľný s presadzovaním „vopred definovaného“ životného štýlu jednotlivca. Mladé osoby so zdravotným postihnutím by nemali byť nútené žiť v prostredí určenom pre staršie osoby so zdravotným postihnutím a naopak.</w:t>
      </w:r>
    </w:p>
    <w:p w14:paraId="0E2693D2" w14:textId="64B40A82" w:rsidR="00BC795F" w:rsidRPr="00EC43CE" w:rsidRDefault="00BC795F" w:rsidP="00A44550">
      <w:pPr>
        <w:pStyle w:val="SingleTxtG"/>
      </w:pPr>
      <w:r>
        <w:t>23.</w:t>
      </w:r>
      <w:r>
        <w:tab/>
        <w:t xml:space="preserve">Podľa článku 19 sú osoby so zdravotným postihnutím všetkých pohlaví držiteľmi práv a majú rovnakú ochranu. Mali by sa prijať všetky vhodné opatrenia na zabezpečenie plného rozvoja, zlepšenia a posilnenia postavenia žien. Podľa článku 19 musia mať lesbické </w:t>
      </w:r>
      <w:r>
        <w:lastRenderedPageBreak/>
        <w:t>ženy, homosexuáli, bisexuáli, transrodové osoby, neheterosexuálne a intersexuálne osoby so zdravotným postihnutím rovnakú ochranu, a preto sa musia ich osobné vzťahy rešpektovať. Okrem toho právo na nezávislý spôsob života a začlenenie do spoločnosti zahŕňa aj ochranu osôb so zdravotným postihnutím patriacich do akejkoľvek vekovej skupiny, etnickej skupiny, najnižšej registrovanej kasty alebo jazykovej a/alebo náboženskej menšiny, vrátane migrantov, žiadateľov o azyl a utečencov.</w:t>
      </w:r>
    </w:p>
    <w:p w14:paraId="7901941C" w14:textId="77777777" w:rsidR="00BC795F" w:rsidRPr="00EC43CE" w:rsidRDefault="00BC795F" w:rsidP="006F0BD3">
      <w:pPr>
        <w:pStyle w:val="H1G"/>
      </w:pPr>
      <w:r>
        <w:tab/>
        <w:t>C.</w:t>
      </w:r>
      <w:r>
        <w:tab/>
        <w:t>Článok 19 písm. a)</w:t>
      </w:r>
    </w:p>
    <w:p w14:paraId="4C9BF88C" w14:textId="6A04188E" w:rsidR="00BC795F" w:rsidRPr="00EC43CE" w:rsidRDefault="00BC795F" w:rsidP="00A44550">
      <w:pPr>
        <w:pStyle w:val="SingleTxtG"/>
      </w:pPr>
      <w:r>
        <w:t>24.</w:t>
      </w:r>
      <w:r>
        <w:tab/>
        <w:t>Ústrednou myšlienkou práva na nezávislý spôsob života a začlenenie do spoločnosti je možnosť zvoliť si a rozhodnúť sa ako, kde a s kým žiť. Individuálna voľba sa preto netýka len miesta pobytu, ale zahŕňa všetky aspekty životných podmienok danej osoby, t.</w:t>
      </w:r>
      <w:r w:rsidR="00C80E8B">
        <w:t xml:space="preserve"> </w:t>
      </w:r>
      <w:r>
        <w:t>j. jej denný rozvrh, rutinné aktivity, spôsob života a životný štýl v súkromnej i verejnej sfére, a to každý deň z dlhodobého hľadiska.</w:t>
      </w:r>
    </w:p>
    <w:p w14:paraId="169AEECD" w14:textId="3A2EFF0A" w:rsidR="00BC795F" w:rsidRPr="00EC43CE" w:rsidRDefault="00BC795F" w:rsidP="00A44550">
      <w:pPr>
        <w:pStyle w:val="SingleTxtG"/>
      </w:pPr>
      <w:r>
        <w:t>25.</w:t>
      </w:r>
      <w:r>
        <w:tab/>
        <w:t>Často si osoby so zdravotným postihnutím nemôžu zvoliť, pretože im na výber chýbajú možnosti. Toto je napríklad prípad, kde je jedinou možnosťou neformálna podpora rodiny, kde nie je k dispozícii podpora mimo ústavných zariadení, kde je bývanie neprístupné alebo sa podpora v danej spoločnosti neposkytuje, resp. kde sa podpora poskytuje iba v špecifikovaných pobytových formách, ako napríklad v skupinových domovoch alebo ústavoch.</w:t>
      </w:r>
    </w:p>
    <w:p w14:paraId="50C7DD14" w14:textId="37FAFB59" w:rsidR="00BC795F" w:rsidRPr="00EC43CE" w:rsidRDefault="00BC795F" w:rsidP="00A44550">
      <w:pPr>
        <w:pStyle w:val="SingleTxtG"/>
      </w:pPr>
      <w:r>
        <w:t>26.</w:t>
      </w:r>
      <w:r>
        <w:tab/>
        <w:t>Okrem toho by možnosť osôb so zdravotným postihnutím voliť si a rozhodovať sa nemala byť zmarená v dôsledku nedostatku prístupných informácií o rozsahu dostupných možností a/alebo v dôsledku právnych obmedzení vyplývajúcich zo zákonov o opatrovníctve a podobných právnych noriem alebo rozhodnutí, ktoré neumožňujú osobám so zdravotným postihnutím uplatňovať právnu spôsobilosť. Aj keď neexistujú žiadne formálne zákony, iné osoby, ako napríklad rodinní príslušníci, opatrovatelia alebo miestne orgány, niekedy ovládajú a obmedzujú voľbu jednotlivca tým, že konajú ako náhradní rozhodovatelia.</w:t>
      </w:r>
    </w:p>
    <w:p w14:paraId="1E79215C" w14:textId="77777777" w:rsidR="00BC795F" w:rsidRPr="00EC43CE" w:rsidRDefault="00BC795F" w:rsidP="00A44550">
      <w:pPr>
        <w:pStyle w:val="SingleTxtG"/>
      </w:pPr>
      <w:r>
        <w:t>27.</w:t>
      </w:r>
      <w:r>
        <w:tab/>
        <w:t>Právna subjektivita a právne zastúpenie sú pre osoby so zdravotným postihnutím základom na vedenie nezávislého života v rámci spoločnosti. Článok 19 preto súvisí s uznávaním a uplatňovaním právnej subjektivity a právnej spôsobilosti, ako sú upravené v článku 12 dohovoru a podrobnejšie vysvetlené vo Všeobecnom komentári č. 1 (2014) k rovnakému uznaniu pred zákonom Výboru pre práva osôb so zdravotným postihnutím. Okrem tohto je tento článok spojený s absolútnym zákazom zadržania/väzby na základe zdravotného postihnutia, ako je upravené v článku 14 a rozpracované v príslušných usmerneniach.</w:t>
      </w:r>
      <w:r w:rsidRPr="00C15829">
        <w:rPr>
          <w:rStyle w:val="Odkaznapoznmkupodiarou"/>
        </w:rPr>
        <w:footnoteReference w:id="4"/>
      </w:r>
    </w:p>
    <w:p w14:paraId="280178C7" w14:textId="77777777" w:rsidR="00BC795F" w:rsidRPr="00EC43CE" w:rsidRDefault="00BC795F" w:rsidP="006F0BD3">
      <w:pPr>
        <w:pStyle w:val="H1G"/>
      </w:pPr>
      <w:r>
        <w:tab/>
        <w:t>D.</w:t>
      </w:r>
      <w:r>
        <w:tab/>
        <w:t>Článok 19 písm. b)</w:t>
      </w:r>
    </w:p>
    <w:p w14:paraId="5B83202A" w14:textId="77777777" w:rsidR="00BC795F" w:rsidRPr="00EC43CE" w:rsidRDefault="00BC795F" w:rsidP="00A44550">
      <w:pPr>
        <w:pStyle w:val="SingleTxtG"/>
      </w:pPr>
      <w:r>
        <w:t>28.</w:t>
      </w:r>
      <w:r>
        <w:tab/>
        <w:t>Individualizované podporné služby sa musia považovať skôr za právo ako za formu zdravotnej, sociálnej alebo charitatívnej starostlivosti. Pre mnohé osoby so zdravotným postihnutím je prístup k rôznym individualizovaným podporným službám nevyhnutným predpokladom nezávislého spôsobu života v rámci spoločnosti. Osoby so zdravotným postihnutím majú právo vybrať si služby a ich poskytovateľov podľa svojich individuálnych požiadaviek a osobných preferencií, pričom individualizovaná podpora by mala byť dostatočne flexibilná na to, aby sa prispôsobila požiadavkám jej prijímateľov a nie naopak. Znamená to povinnosť zmluvných štátov zabezpečiť, aby existoval dostatok kvalifikovaných špecialistov schopných identifikovať praktické riešenia prekážok nezávislého spôsobu života v rámci spoločnosti v súlade s požiadavkami a preferenciami jednotlivca.</w:t>
      </w:r>
    </w:p>
    <w:p w14:paraId="5075DC19" w14:textId="32896192" w:rsidR="00BC795F" w:rsidRPr="00EC43CE" w:rsidRDefault="00BC795F" w:rsidP="00A44550">
      <w:pPr>
        <w:pStyle w:val="SingleTxtG"/>
      </w:pPr>
      <w:r>
        <w:t>29.</w:t>
      </w:r>
      <w:r>
        <w:tab/>
        <w:t xml:space="preserve">Znenie písm. b) špecifikuje rôzne individualizované služby, ktoré patria do kategórie podporných služieb. Tieto služby nezahŕňajú len služby poskytované v rámci domova, ale musia sa rozsahovo dotýkať aj oblastí zamestnanosti, vzdelávania, politickej a kultúrnej účasti, posilnenia rodičovstva a schopnosti osloviť rodinných príbuzných a iné osoby, </w:t>
      </w:r>
      <w:r>
        <w:lastRenderedPageBreak/>
        <w:t>zapojenia do politického a kultúrneho života, voľnočasových záujmov a aktivít, ako aj cestovania a rekreácie.</w:t>
      </w:r>
    </w:p>
    <w:p w14:paraId="54899A0D" w14:textId="5B70E884" w:rsidR="00BC795F" w:rsidRPr="00EC43CE" w:rsidRDefault="00BC795F" w:rsidP="00A44550">
      <w:pPr>
        <w:pStyle w:val="SingleTxtG"/>
      </w:pPr>
      <w:r>
        <w:t>30.</w:t>
      </w:r>
      <w:r>
        <w:tab/>
        <w:t>Aj keď sa individualizované podporné služby môžu líšiť názvom, typom alebo druhom podľa kultúrnych, ekonomických a geografických špecifík daného zmluvného štátu, všetky podporné služby musia byť navrhnuté tak, aby podporovali nezávislý spôsob života v rámci spoločnosti, zabraňovali segregácii a izolácii od ostatných, pričom musia byť v skutočnosti vhodné na tento účel. Dôležité je, aby cieľom týchto podporných služieb bolo dosiahnutie plného začlenenia do spoločnosti. Z tohto dôvodu nie je v článku 19 písm. b) povolená žiadna ústavná forma podporných služieb, ktorá oddeľuje a obmedzuje osobnú autonómiu.</w:t>
      </w:r>
    </w:p>
    <w:p w14:paraId="3DE7BEF0" w14:textId="1594FEED" w:rsidR="00BC795F" w:rsidRPr="00EC43CE" w:rsidRDefault="00BC795F" w:rsidP="00A44550">
      <w:pPr>
        <w:pStyle w:val="SingleTxtG"/>
      </w:pPr>
      <w:r>
        <w:t>31.</w:t>
      </w:r>
      <w:r>
        <w:tab/>
        <w:t>Zmluvné štáty musia mať na pamäti aj to, že všetky podporné služby sa musia navrhnúť a poskytovať tak, aby podporovali celkový účel danej normy: plné, individualizované, samostatne zvolené a účinné začlenenie a zapojenie do spoločnosti a nezávislý spôsob života.</w:t>
      </w:r>
    </w:p>
    <w:p w14:paraId="7E94CB56" w14:textId="77777777" w:rsidR="00BC795F" w:rsidRPr="00EC43CE" w:rsidRDefault="00BC795F" w:rsidP="00455826">
      <w:pPr>
        <w:pStyle w:val="H1G"/>
      </w:pPr>
      <w:r>
        <w:tab/>
        <w:t>E.</w:t>
      </w:r>
      <w:r>
        <w:tab/>
        <w:t>Článok 19 písm. c)</w:t>
      </w:r>
    </w:p>
    <w:p w14:paraId="2D498D64" w14:textId="7A8B40D8" w:rsidR="00BC795F" w:rsidRPr="00EC43CE" w:rsidRDefault="00BC795F" w:rsidP="00A44550">
      <w:pPr>
        <w:pStyle w:val="SingleTxtG"/>
      </w:pPr>
      <w:r>
        <w:t>32.</w:t>
      </w:r>
      <w:r>
        <w:tab/>
        <w:t>Služby a zariadenia uvedené v tejto časti článku sú podporné služby a zariadenia, ktoré nie sú špecifické len pre osoby so zdravotným postihnutím, ale sú určené širokej verejnosti v danej spoločnosti</w:t>
      </w:r>
      <w:r w:rsidR="00D45BDD">
        <w:t>.</w:t>
      </w:r>
      <w:r>
        <w:t xml:space="preserve"> Zahŕňajú širokú škálu služieb, ako napríklad bývanie, verejné knižnice, nemocnice, školy, dopravu, obchody, trhy, múzeá, internet, sociálne médiá a podobné zariadenia a služby. Tieto musia byť dostupné, univerzálne prístupné, prijateľné a prispôsobiteľné všetkým osobám so zdravotným postihnutím v rámci danej spoločnosti.</w:t>
      </w:r>
    </w:p>
    <w:p w14:paraId="79C20593" w14:textId="77777777" w:rsidR="00BC795F" w:rsidRPr="00EC43CE" w:rsidRDefault="00BC795F" w:rsidP="00A44550">
      <w:pPr>
        <w:pStyle w:val="SingleTxtG"/>
      </w:pPr>
      <w:r>
        <w:t>33.</w:t>
      </w:r>
      <w:r>
        <w:tab/>
        <w:t>Dostupnosť komunitných zariadení, tovarov a služieb, ako aj uplatňovanie práva na inkluzívne, prístupné zamestnanie, vzdelávanie a zdravotnú starostlivosť sú základnými predpokladmi začlenenia a zapojenia osôb so zdravotným postihnutím do spoločnosti. Rôzne programy deinštitucionalizácie ukázali, že zatvorenie ústavných zariadení bez ohľadu na ich veľkosť a premiestnenie prijímateľov starostlivosti do určitej spoločnosti samo osebe nestačí. Takéto reformy musia sprevádzať komplexné programy služieb a komunitného rozvoja, vrátane programov na zvyšovanie povedomia. Štrukturálne reformy navrhnuté na zlepšenie celkovej dostupnosti v rámci danej spoločnosti môžu znížiť dopyt po službách špecifických pre osoby so zdravotným postihnutím.</w:t>
      </w:r>
    </w:p>
    <w:p w14:paraId="235CC6D9" w14:textId="10047DF4" w:rsidR="00BC795F" w:rsidRPr="00EC43CE" w:rsidRDefault="00BC795F" w:rsidP="00A44550">
      <w:pPr>
        <w:pStyle w:val="SingleTxtG"/>
      </w:pPr>
      <w:r>
        <w:t>34.</w:t>
      </w:r>
      <w:r>
        <w:tab/>
        <w:t>Z hľadiska vecnej pôsobnosti upravuje článok 19 prístup k bezpečnému a primeranému bývaniu, individuálnym službám a komunitným zariadeniam a službám. Prístup k bývaniu znamená mať možnosť spolunažívať s ostatnými v danej spoločnosti na rovnakom základe. Článok 19 sa správne neuplatňuje, ak sa bývanie poskytuje iba v osobitne navrhnutých oblastiach a usporiadaných tak, že osoby so zdravotným postihnutím musia bývať v rovnakej budove, komplexe alebo susedstve. Prístupné budovy poskytujúce ubytovanie osobám so zdravotným postihnutím, či už žijú samostatne, alebo ako súčasť rodiny, musia byť k dispozícii v dostatočnom počte vo všetkých oblastiach danej spoločnosti, aby sa osobám so zdravotným postihnutím zaistilo právo na výber, ako aj možnosť takého výberu. Za týmto účelom sú potrebné nové bezbariérové obytné budovy a bezbariérové modernejšie vybavenie existujúcich obytných budov. Okrem toho také bývanie musí byť cenovo dostupné osobám so zdravotným postihnutím.</w:t>
      </w:r>
    </w:p>
    <w:p w14:paraId="394542C8" w14:textId="711DBDBE" w:rsidR="00BC795F" w:rsidRPr="00EC43CE" w:rsidRDefault="00BC795F" w:rsidP="00A44550">
      <w:pPr>
        <w:pStyle w:val="SingleTxtG"/>
      </w:pPr>
      <w:r>
        <w:t>35.</w:t>
      </w:r>
      <w:r>
        <w:tab/>
        <w:t>Podporné služby musia byť bez ohrozenia fyzicky aj geograficky ľahko dostupné všetkým osobám so zdravotným postihnutím, ktoré žijú v mestských alebo vidieckych oblastiach. Takisto musia byť cenovo dostupné s ohľadom na osoby s nízkymi príjmami. Okrem toho musia byť prijateľné, tzn. že musia rešpektovať štandardné úrovne kvality pri zohľadnení pohlavia, veku a kultúry daných osôb.</w:t>
      </w:r>
    </w:p>
    <w:p w14:paraId="311FC53A" w14:textId="1D05187D" w:rsidR="00BC795F" w:rsidRPr="00EC43CE" w:rsidRDefault="00BC795F" w:rsidP="00A44550">
      <w:pPr>
        <w:pStyle w:val="SingleTxtG"/>
      </w:pPr>
      <w:r>
        <w:t>36.</w:t>
      </w:r>
      <w:r>
        <w:tab/>
        <w:t xml:space="preserve">Individualizované podporné služby, ktoré neberú do úvahy osobnú voľbu a sebakontrolu, neumožňujú nezávislý spôsob života v rámci danej spoločnosti. Podporné služby poskytované ako kombinované pobytové a podporné služby (dodávané ako kombinovaný „balík“) sa často ponúkajú osobám so zdravotným postihnutím za predpokladu nákladovej efektívnosti. Aj keď sa tento predpoklad samozrejme dá vyvrátiť z </w:t>
      </w:r>
      <w:r>
        <w:lastRenderedPageBreak/>
        <w:t>hľadiska ekonomického, aspekty nákladovej efektívnosti nesmú mať prednosť pred podstatou daného ľudského práva. Od osôb so zdravotným postihnutím by sa spravidla nemalo vyžadovať zdieľanie osobnej asistencie a asistentov a ak áno, tak len s ich plným a slobodne udeleným súhlasom. Možnosť voľby je jedným z troch kľúčových prvkov práva na nezávislý spôsob života v rámci danej spoločnosti.</w:t>
      </w:r>
    </w:p>
    <w:p w14:paraId="2ADE225B" w14:textId="77777777" w:rsidR="00BC795F" w:rsidRPr="00EC43CE" w:rsidRDefault="00BC795F" w:rsidP="00A44550">
      <w:pPr>
        <w:pStyle w:val="SingleTxtG"/>
      </w:pPr>
      <w:r>
        <w:t>37.</w:t>
      </w:r>
      <w:r>
        <w:tab/>
        <w:t>Právo na rovnaké podporné služby zodpovedá povinnosti zaistiť začlenenie a zapojenie osôb so zdravotným postihnutím do procesov súvisiacich so zariadeniami a službami v danej spoločnosti s tým, že tieto reagujú na ich konkrétne požiadavky, zohľadňujú ich pohlavie a vek a umožňujú ich spontánne začlenenie do danej spoločnosti. Podstatou práva na nezávislý spôsob života a začlenenie do spoločnosti u detí je ich právo vyrastať v rodinnom prostredí.</w:t>
      </w:r>
    </w:p>
    <w:p w14:paraId="26D8C032" w14:textId="67892DA1" w:rsidR="00BC795F" w:rsidRPr="00EC43CE" w:rsidRDefault="00BC795F" w:rsidP="0077088F">
      <w:pPr>
        <w:pStyle w:val="H1G"/>
      </w:pPr>
      <w:r>
        <w:tab/>
        <w:t>F.</w:t>
      </w:r>
      <w:r>
        <w:tab/>
        <w:t>Základné prvky</w:t>
      </w:r>
    </w:p>
    <w:p w14:paraId="64520E69" w14:textId="77777777" w:rsidR="00BC795F" w:rsidRPr="00EC43CE" w:rsidRDefault="00BC795F" w:rsidP="00A44550">
      <w:pPr>
        <w:pStyle w:val="SingleTxtG"/>
      </w:pPr>
      <w:r>
        <w:t>38.</w:t>
      </w:r>
      <w:r>
        <w:tab/>
        <w:t xml:space="preserve">Výbor považuje za dôležité identifikovať základné prvky článku 19 s cieľom zabezpečiť, aby každý zmluvný štát vykonával štandardizovanú minimálnu úroveň podpory postačujúcu na uplatňovanie práva na nezávislý spôsob života a začlenenie do spoločnosti. Zmluvné štáty by mali zaistiť, aby sa základné prvky článku 19 vždy dodržiavali, najmä v čase finančnej alebo hospodárskej krízy. Tieto základné prvky zahŕňajú nasledujúce činnosti: </w:t>
      </w:r>
    </w:p>
    <w:p w14:paraId="3AFFC097" w14:textId="13108D25" w:rsidR="00BC795F" w:rsidRPr="00EC43CE" w:rsidRDefault="0077088F" w:rsidP="00A44550">
      <w:pPr>
        <w:pStyle w:val="SingleTxtG"/>
      </w:pPr>
      <w:r>
        <w:tab/>
        <w:t xml:space="preserve">a) </w:t>
      </w:r>
      <w:r>
        <w:tab/>
        <w:t>zabezpečiť všetkým osobám so zdravotným postihnutím právo na právnu spôsobilosť v súlade so všeobecným komentárom č. 1 Výboru, t.</w:t>
      </w:r>
      <w:r w:rsidR="00813565">
        <w:t xml:space="preserve"> </w:t>
      </w:r>
      <w:r>
        <w:t>j. rozhodnúť sa, kde, s kým a ako žiť bez ohľadu na zdravotné postihnutie;</w:t>
      </w:r>
    </w:p>
    <w:p w14:paraId="008C30A9" w14:textId="77777777" w:rsidR="00BC795F" w:rsidRPr="00EC43CE" w:rsidRDefault="0077088F" w:rsidP="00A44550">
      <w:pPr>
        <w:pStyle w:val="SingleTxtG"/>
      </w:pPr>
      <w:r>
        <w:tab/>
        <w:t>b)</w:t>
      </w:r>
      <w:r>
        <w:tab/>
        <w:t>zabezpečiť nediskrimináciu počas sprístupňovania budov s ohľadom na príjem a dostupnosť a prijímania povinných stavebných predpisov umožňujúcich sprístupnenie nových a zrekonštruovaných budov;</w:t>
      </w:r>
    </w:p>
    <w:p w14:paraId="1D3361AB" w14:textId="77777777" w:rsidR="00BC795F" w:rsidRPr="00EC43CE" w:rsidRDefault="0077088F" w:rsidP="00A44550">
      <w:pPr>
        <w:pStyle w:val="SingleTxtG"/>
      </w:pPr>
      <w:r>
        <w:tab/>
        <w:t xml:space="preserve">c) </w:t>
      </w:r>
      <w:r>
        <w:tab/>
        <w:t>vypracovať konkrétny akčný plán na zabezpečenie nezávislého spôsobu života osôb so zdravotným postihnutím v rámci spoločnosti, vrátane prijatia opatrení na uľahčenie formálnej podpory takéhoto spôsobu života, a to tak, aby neformálna podpora (napríklad zo strany rodiny) nebola jedinou možnosťou;</w:t>
      </w:r>
    </w:p>
    <w:p w14:paraId="57369F48" w14:textId="14A85880" w:rsidR="00BC795F" w:rsidRPr="00EC43CE" w:rsidRDefault="0077088F" w:rsidP="00A44550">
      <w:pPr>
        <w:pStyle w:val="SingleTxtG"/>
      </w:pPr>
      <w:r>
        <w:tab/>
        <w:t>d)</w:t>
      </w:r>
      <w:r>
        <w:tab/>
        <w:t>tvoriť, uplatňovať, monitorovať a postihovať nedodržiavanie právnych predpisov, plánov a usmernení týkajúcich sa požiadaviek na prístup k základným bežným službám s cieľom dosiahnuť spoločenskú rovnosť, vrátane účasti osôb so zdravotným postihnutím v sociálnych médiách a zaistiť ich primerané schopnosti v oblasti informačných a komunikačných technológií, aby sa tieto technológie rozvíjali, a to aj na základe univerzálneho dizajnu a boli chránené;</w:t>
      </w:r>
    </w:p>
    <w:p w14:paraId="65898168" w14:textId="77777777" w:rsidR="00BC795F" w:rsidRPr="00EC43CE" w:rsidRDefault="0077088F" w:rsidP="00A44550">
      <w:pPr>
        <w:pStyle w:val="SingleTxtG"/>
      </w:pPr>
      <w:r>
        <w:tab/>
        <w:t>e)</w:t>
      </w:r>
      <w:r>
        <w:tab/>
        <w:t>vypracovať konkrétny akčný plán a prijať opatrenia na vytvorenie a zavedenie základných, personalizovaných, nezdieľaných podporných služieb, ktoré sú založené na právach osôb so zdravotným postihnutím a sú pre ne špecifické, vrátane iných foriem služieb;</w:t>
      </w:r>
    </w:p>
    <w:p w14:paraId="673658AF" w14:textId="77777777" w:rsidR="00BC795F" w:rsidRPr="00EC43CE" w:rsidRDefault="0077088F" w:rsidP="00A44550">
      <w:pPr>
        <w:pStyle w:val="SingleTxtG"/>
      </w:pPr>
      <w:r>
        <w:tab/>
        <w:t>f)</w:t>
      </w:r>
      <w:r>
        <w:tab/>
        <w:t>zabezpečiť, aby nedošlo k spomaleniu pri uplatňovaní článku 19, ak takéto opatrenia nie sú náležite odôvodnené a sú v súlade s medzinárodnými právnymi predpismi;</w:t>
      </w:r>
    </w:p>
    <w:p w14:paraId="2AF50C9D" w14:textId="1957E644" w:rsidR="00BC795F" w:rsidRPr="00EC43CE" w:rsidRDefault="0077088F" w:rsidP="00A44550">
      <w:pPr>
        <w:pStyle w:val="SingleTxtG"/>
      </w:pPr>
      <w:r>
        <w:tab/>
        <w:t>g)</w:t>
      </w:r>
      <w:r>
        <w:tab/>
        <w:t>zhromažďovať ucelené kvantitatívne a kvalitatívne údaje o osobách so zdravotným postihnutím, vrátane tých, ktoré sú stále umiestnené v ústavnom zariadení;</w:t>
      </w:r>
    </w:p>
    <w:p w14:paraId="15F1B11D" w14:textId="77777777" w:rsidR="00BC795F" w:rsidRPr="00EC43CE" w:rsidRDefault="0077088F" w:rsidP="00A44550">
      <w:pPr>
        <w:pStyle w:val="SingleTxtG"/>
      </w:pPr>
      <w:r>
        <w:tab/>
        <w:t>h)</w:t>
      </w:r>
      <w:r>
        <w:tab/>
        <w:t>využívať všetky dostupné finančné prostriedky, vrátane regionálneho financovania a financovania rozvojovej spolupráce, a to na rozvoj inkluzívnych a dostupných služieb umožňujúcich nezávislý spôsob života v spoločnosti.</w:t>
      </w:r>
    </w:p>
    <w:p w14:paraId="74246359" w14:textId="77777777" w:rsidR="00BC795F" w:rsidRPr="00EC43CE" w:rsidRDefault="00BC795F" w:rsidP="0077088F">
      <w:pPr>
        <w:pStyle w:val="HChG"/>
      </w:pPr>
      <w:r>
        <w:tab/>
        <w:t>III.</w:t>
      </w:r>
      <w:r>
        <w:tab/>
        <w:t>Povinnosti zmluvných štátov</w:t>
      </w:r>
    </w:p>
    <w:p w14:paraId="330447EA" w14:textId="5C298848" w:rsidR="00BC795F" w:rsidRPr="00EC43CE" w:rsidRDefault="00BC795F" w:rsidP="00A44550">
      <w:pPr>
        <w:pStyle w:val="SingleTxtG"/>
      </w:pPr>
      <w:r>
        <w:t>39.</w:t>
      </w:r>
      <w:r>
        <w:tab/>
        <w:t xml:space="preserve">Povinnosti zmluvných štátov musia odrážať povahu ľudských práv, a to buď ako absolútne a okamžite uplatniteľných (občianske a politické práva), alebo progresívne uplatniteľných (hospodárske, sociálne a kultúrne práva). Právo zvoliť si bydlisko a kde, ako </w:t>
      </w:r>
      <w:r>
        <w:lastRenderedPageBreak/>
        <w:t>a s kým spolunažívať (článok 19 písm. a)) je okamžite uplatniteľné, keďže ide o občianske a politické právo. Právo na prístup k individualizovaným hodnoteným podporným službám (článok 19 písm. b)) je hospodárskym, sociálnym a kultúrnym právom. Právo na prístup k zariadeniam poskytujúcim služby (článok 19 písm. c)) je hospodárskym, sociálnym a kultúrnym právom, keďže mnohé bežné služby, ako napríklad prístupné informačné a komunikačné technológie, webové stránky, sociálne médiá, kiná, verejné parky, divadlá a športové zariadenia, plnia sociálne aj kultúrne účely. Postupná realizácia znamená naliehavú povinnosť navrhnúť a prijať konkrétne stratégie, akčné plány a zdroje na rozvoj podporných služieb a zároveň sprístupňovať osobám so zdravotným postihnutím existujúce aj nové všeobecné služby.</w:t>
      </w:r>
    </w:p>
    <w:p w14:paraId="4647BC24" w14:textId="405E1A3B" w:rsidR="00BC795F" w:rsidRPr="00EC43CE" w:rsidRDefault="00BC795F" w:rsidP="00A44550">
      <w:pPr>
        <w:pStyle w:val="SingleTxtG"/>
      </w:pPr>
      <w:r>
        <w:t>40.</w:t>
      </w:r>
      <w:r>
        <w:tab/>
      </w:r>
      <w:r w:rsidRPr="00DF1686">
        <w:t>Povinnosť</w:t>
      </w:r>
      <w:r>
        <w:t xml:space="preserve"> rešpektovať má nielen negatívny aspekt. Jej pozitívnou stránkou je, že vyžaduje od zmluvných štátov, aby prijali všetky potrebné opatrenia na to, aby žiadny z nich ani súkromné subjekty neporušovali práva zakotvené v článku 19.</w:t>
      </w:r>
    </w:p>
    <w:p w14:paraId="49098CA4" w14:textId="75212EBC" w:rsidR="00BC795F" w:rsidRPr="00EC43CE" w:rsidRDefault="00BC795F" w:rsidP="00A44550">
      <w:pPr>
        <w:pStyle w:val="SingleTxtG"/>
      </w:pPr>
      <w:r>
        <w:t>41.</w:t>
      </w:r>
      <w:r>
        <w:tab/>
        <w:t>V záujme dosiahnutia postupného uplatňovania hospodárskych, sociálnych a kultúrnych práv musia zmluvné štáty podniknúť kroky na maximálne využitie svojich dostupných zdrojov.</w:t>
      </w:r>
      <w:r w:rsidRPr="00C15829">
        <w:rPr>
          <w:rStyle w:val="Odkaznapoznmkupodiarou"/>
        </w:rPr>
        <w:footnoteReference w:id="5"/>
      </w:r>
      <w:r>
        <w:t xml:space="preserve"> Tieto kroky je potrebné vykonať okamžite alebo v primerane krátkom čase. Dané kroky by mali byť premyslené, konkrétne a cielené a využívať všetky vhodné prostriedky.</w:t>
      </w:r>
      <w:r w:rsidRPr="00C15829">
        <w:rPr>
          <w:rStyle w:val="Odkaznapoznmkupodiarou"/>
        </w:rPr>
        <w:footnoteReference w:id="6"/>
      </w:r>
      <w:r>
        <w:t xml:space="preserve"> Systematické uplatňovanie práva na nezávislý spôsob života v spoločnosti si vyžaduje štrukturálne zmeny. Týka sa to hlavne deinštitucionalizácie vo všetkých jej formách.</w:t>
      </w:r>
    </w:p>
    <w:p w14:paraId="0E654812" w14:textId="77777777" w:rsidR="00BC795F" w:rsidRPr="00EC43CE" w:rsidRDefault="00BC795F" w:rsidP="00A44550">
      <w:pPr>
        <w:pStyle w:val="SingleTxtG"/>
      </w:pPr>
      <w:r>
        <w:t>42.</w:t>
      </w:r>
      <w:r>
        <w:tab/>
        <w:t>Zmluvné štáty majú naliehavú povinnosť začať strategické plánovanie za účelom nahradenia akýchkoľvek zariadení ústavnej starostlivosti podpornými službami na zaistenie nezávislého spôsobu života, a to s dostatočnými časovými rámcami a zdrojmi pri úzkej a úctivej diskusii a konzultácii so zastupiteľskými organizáciami osôb so zdravotným postihnutím. Miera voľnosti zmluvných štátov súvisí s programovou implementáciou, a nie s otázkou nahradenia. Zmluvné štáty by mali prostredníctvom svojich zastupiteľských organizácií vypracovať prechodné plány v priamej konzultácii s osobami so zdravotným postihnutím s cieľom zabezpečiť ich plné začlenenie do spoločnosti.</w:t>
      </w:r>
    </w:p>
    <w:p w14:paraId="5E8AA1DF" w14:textId="77777777" w:rsidR="00BC795F" w:rsidRPr="00EC43CE" w:rsidRDefault="00BC795F" w:rsidP="00A44550">
      <w:pPr>
        <w:pStyle w:val="SingleTxtG"/>
      </w:pPr>
      <w:r>
        <w:t>43.</w:t>
      </w:r>
      <w:r>
        <w:tab/>
        <w:t>Ak sa zmluvný štát usiluje o zavedenie regresívnych opatrení v súvislosti s článkom 19, napríklad v reakcii na hospodársku alebo finančnú krízu, je povinný preukázať, že takéto opatrenia sú dočasné, nevyhnutné a nediskriminačné a rešpektujú jeho základné povinnosti.</w:t>
      </w:r>
      <w:r w:rsidRPr="00C15829">
        <w:rPr>
          <w:rStyle w:val="Odkaznapoznmkupodiarou"/>
        </w:rPr>
        <w:footnoteReference w:id="7"/>
      </w:r>
    </w:p>
    <w:p w14:paraId="0770BEDB" w14:textId="77777777" w:rsidR="00BC795F" w:rsidRPr="00EC43CE" w:rsidRDefault="00BC795F" w:rsidP="00A44550">
      <w:pPr>
        <w:pStyle w:val="SingleTxtG"/>
      </w:pPr>
      <w:r>
        <w:t>44.</w:t>
      </w:r>
      <w:r>
        <w:tab/>
        <w:t>Povinnosť progresívnej realizácie zahŕňa aj predpoklad proti regresívnym opatreniam pri využívaní hospodárskych, sociálnych a kultúrnych práv. Takéto opatrenia zbavujú ľudí so zdravotným postihnutím možnosti plného uplatňovania práva na nezávislý spôsob života a začlenenie do spoločnosti. V dôsledku toho sú regresívne opatrenia v rozpore s článkom 19.</w:t>
      </w:r>
    </w:p>
    <w:p w14:paraId="0B569F0B" w14:textId="150AD251" w:rsidR="00BC795F" w:rsidRPr="00EC43CE" w:rsidRDefault="00BC795F" w:rsidP="00A44550">
      <w:pPr>
        <w:pStyle w:val="SingleTxtG"/>
      </w:pPr>
      <w:r>
        <w:t>45.</w:t>
      </w:r>
      <w:r>
        <w:tab/>
        <w:t>Zmluvné štáty nesmú prijímať regresívne opatrenia v súvislosti s minimálnymi základnými povinnosťami v rámci práva na nezávislý spôsob života v spoločnosti, ako je uvedené v tomto všeobecnom komentári.</w:t>
      </w:r>
    </w:p>
    <w:p w14:paraId="1520276A" w14:textId="77777777" w:rsidR="00BC795F" w:rsidRPr="00EC43CE" w:rsidRDefault="00BC795F" w:rsidP="00A44550">
      <w:pPr>
        <w:pStyle w:val="SingleTxtG"/>
      </w:pPr>
      <w:r>
        <w:t>46.</w:t>
      </w:r>
      <w:r>
        <w:tab/>
        <w:t xml:space="preserve">Zmluvné štáty majú naliehavú povinnosť odstrániť diskrimináciu voči jednotlivcom alebo skupinám osôb so zdravotným postihnutím a zaručiť im rovnaké právo na nezávislý spôsob života a začlenenie do spoločnosti. Z tohto dôvodu je nevyhnutné, aby zmluvné štáty zrušili alebo reformovali politiky, právne predpisy a postupy, ktoré bránia osobám so zdravotným postihnutím, napríklad zvoliť si miesto bydliska, zabezpečiť si cenovo prijateľné a prístupné bývanie, prenajať si ubytovanie alebo mať prístup k všeobecným bežným zariadeniam a službám potrebným na zaistenie ich nezávislosti. Povinnosť </w:t>
      </w:r>
      <w:r>
        <w:lastRenderedPageBreak/>
        <w:t>poskytovať primerané ubytovanie (čl. 5 ods. 3) tiež nie je podmienená progresívnou realizáciou.</w:t>
      </w:r>
    </w:p>
    <w:p w14:paraId="0D94CCC0" w14:textId="77777777" w:rsidR="00BC795F" w:rsidRPr="00EC43CE" w:rsidRDefault="00BC795F" w:rsidP="009B7031">
      <w:pPr>
        <w:pStyle w:val="H1G"/>
      </w:pPr>
      <w:r>
        <w:tab/>
        <w:t>A.</w:t>
      </w:r>
      <w:r>
        <w:tab/>
        <w:t>Povinnosť rešpektovať</w:t>
      </w:r>
    </w:p>
    <w:p w14:paraId="207FA0EB" w14:textId="5B33362E" w:rsidR="00BC795F" w:rsidRPr="00EC43CE" w:rsidRDefault="00BC795F" w:rsidP="00A44550">
      <w:pPr>
        <w:pStyle w:val="SingleTxtG"/>
      </w:pPr>
      <w:r>
        <w:t>47.</w:t>
      </w:r>
      <w:r>
        <w:tab/>
        <w:t>Povinnosť rešpektovať od zmluvných štátov vyžaduje, aby žiadnym spôsobom priamo či nepriamo nezasahovali ani neobmedzovali výkon práva jednotlivca na nezávislý spôsob života a začlenenie do spoločnosti. Zmluvné štáty by nemali žiadnej osobe obmedziť ani odoprieť prístup k nezávislému spôsobu života v spoločnosti, a to ani prostredníctvom zákonov, ktoré priamo alebo nepriamo obmedzujú možnosti osôb so zdravotným postihnutím zvoliť si miesto bydliska, rozhodnúť sa, kde, ako a s kým chcú spolunažívať, alebo ich osobnú autonómiu. Zmluvné štáty by mali reformovať zákony, ktoré bránia výkonu práv zakotvených v článku 19.</w:t>
      </w:r>
    </w:p>
    <w:p w14:paraId="5B4D0F91" w14:textId="77777777" w:rsidR="00BC795F" w:rsidRPr="00EC43CE" w:rsidRDefault="00BC795F" w:rsidP="00A44550">
      <w:pPr>
        <w:pStyle w:val="SingleTxtG"/>
      </w:pPr>
      <w:r>
        <w:t>48.</w:t>
      </w:r>
      <w:r>
        <w:tab/>
        <w:t>Táto povinnosť od zmluvných štátov vyžaduje aj to, aby zrušili, resp. neschvaľovali zákony, politiky a štruktúry, ktoré zachovávajú a vytvárajú prekážky v prístupe k podporným službám a všeobecným zariadeniam a službám. Znamená aj povinnosť prepustiť všetky osoby, ktoré sú umiestnené proti svojej vôli v zariadeniach starostlivosti o duševné zdravie alebo iných zariadenia odňatia slobody špecifických pre osoby so zdravotným postihnutím. Ďalej zahŕňa zákaz všetkých foriem opatrovníctva a povinnosť nahradiť systémy náhradného rozhodovania alternatívnymi možnosťami podporovaného rozhodovania.</w:t>
      </w:r>
    </w:p>
    <w:p w14:paraId="365B105B" w14:textId="476223F9" w:rsidR="00BC795F" w:rsidRPr="00EC43CE" w:rsidRDefault="00BC795F" w:rsidP="00A44550">
      <w:pPr>
        <w:pStyle w:val="SingleTxtG"/>
      </w:pPr>
      <w:r>
        <w:t>49.</w:t>
      </w:r>
      <w:r>
        <w:tab/>
        <w:t>Rešpektovanie práv osôb so zdravotným postihnutím podľa článku 19 znamená, že zmluvné strany musia postupne odstrániť a prestať používať inštitucionalizáciu (t.</w:t>
      </w:r>
      <w:r w:rsidR="007E6855">
        <w:t xml:space="preserve"> </w:t>
      </w:r>
      <w:r>
        <w:t>j. umiestňovanie osôb do zariadení ústavnej starostlivosti). Zmluvné štáty nesmú postaviť žiadne nové ústavné zariadenia ani zrekonštruovať tie staré nad rámec najurgentnejších opatrení na zabezpečenie fyzickej bezpečnosti umiestnených osôb. Ústavné zariadenia by sa nemali rozširovať, pri odchode osôb zo zariadení ústavnej starostlivosti by sa nemali umiestňovať nové a nemali by sa zakladať pridružené ubytovacie zariadenia, ktoré sú postavené pri ústavných zariadeniach, t.</w:t>
      </w:r>
      <w:r w:rsidR="006F070E">
        <w:t xml:space="preserve"> </w:t>
      </w:r>
      <w:r>
        <w:t>j. tie, ktoré vyzerajú ako samostatné ubytovacie zariadenia (byty alebo samostatné domy), ale nachádzajú sa v blízkosti ústavných zariadení.</w:t>
      </w:r>
    </w:p>
    <w:p w14:paraId="5E8F555D" w14:textId="77777777" w:rsidR="00BC795F" w:rsidRPr="00EC43CE" w:rsidRDefault="00BC795F" w:rsidP="009B7031">
      <w:pPr>
        <w:pStyle w:val="H1G"/>
      </w:pPr>
      <w:r>
        <w:tab/>
        <w:t>B.</w:t>
      </w:r>
      <w:r>
        <w:tab/>
        <w:t>Povinnosť chrániť</w:t>
      </w:r>
    </w:p>
    <w:p w14:paraId="3BCAB69D" w14:textId="77777777" w:rsidR="00BC795F" w:rsidRPr="00EC43CE" w:rsidRDefault="00BC795F" w:rsidP="00A44550">
      <w:pPr>
        <w:pStyle w:val="SingleTxtG"/>
      </w:pPr>
      <w:r>
        <w:t>50.</w:t>
      </w:r>
      <w:r>
        <w:tab/>
        <w:t>Povinnosť chrániť pre zmluvné štáty znamená prijať opatrenia, ktoré zabránia členom rodiny a iným tretím stranám priamo či nepriamo zasahovať do výkonu práva na nezávislý spôsob života v spoločnosti. Povinnosť chrániť od zmluvných štátov vyžaduje aj to, aby zaviedli a uplatňovali právne predpisy a politiky, ktoré zakazujú rodinným príslušníkom a tretím osobám, poskytovateľom služieb, vlastníkom pôdy alebo poskytovateľom všeobecných služieb správať sa spôsobom, ktorý narúša plný výkon práva na nezávislý spôsob života v spoločnosti.</w:t>
      </w:r>
    </w:p>
    <w:p w14:paraId="6ACC791A" w14:textId="2AEF51B3" w:rsidR="00BC795F" w:rsidRPr="00EC43CE" w:rsidRDefault="00BC795F" w:rsidP="00A44550">
      <w:pPr>
        <w:pStyle w:val="SingleTxtG"/>
      </w:pPr>
      <w:r>
        <w:t>51.</w:t>
      </w:r>
      <w:r>
        <w:tab/>
        <w:t>Zmluvné štáty by mali zabezpečiť, aby sa verejné ani súkromné prostriedky nemíňali na údržbu, rekonštrukciu, zriaďovanie alebo budovanie akýchkoľvek opatrovateľských zariadení či iných zariadení ústavnej starostlivosti. Okrem toho musia zmluvné štáty zabezpečiť, aby sa nezakladali súkromné ústavné zariadenia pod zásterkou komunitného života.</w:t>
      </w:r>
    </w:p>
    <w:p w14:paraId="414ED301" w14:textId="77777777" w:rsidR="00BC795F" w:rsidRPr="00EC43CE" w:rsidRDefault="00BC795F" w:rsidP="00A44550">
      <w:pPr>
        <w:pStyle w:val="SingleTxtG"/>
      </w:pPr>
      <w:r>
        <w:t>52.</w:t>
      </w:r>
      <w:r>
        <w:tab/>
        <w:t>Podpora by sa mala byť vždy zakladať na individuálnych požiadavkách, nie na záujmoch daného poskytovateľa služieb. Zmluvné štáty by mali zaviesť mechanizmy na monitorovanie poskytovateľov služieb, prijať opatrenia na ochranu osôb so zdravotným postihnutím pred ich „zastrčením“ do rodinného prostredia alebo izolovaním v ústavných zariadeniach a na ochranu detí pred ich opustením alebo umiestnením do ústavnej starostlivosti na základe zdravotného postihnutia a zároveň vytvoriť vhodné mechanizmy na odhaľovanie prípadov násilia voči osobám so zdravotným postihnutím tretími stranami. Takisto by zmluvné štáty mali zakázať riaditeľom a/alebo vedúcim pobytových ústavných zariadení, aby sa stali opatrovníkmi umiestnených osôb.</w:t>
      </w:r>
    </w:p>
    <w:p w14:paraId="0801B13F" w14:textId="3A1E0915" w:rsidR="00BC795F" w:rsidRPr="00EC43CE" w:rsidRDefault="00BC795F" w:rsidP="00A44550">
      <w:pPr>
        <w:pStyle w:val="SingleTxtG"/>
      </w:pPr>
      <w:r>
        <w:lastRenderedPageBreak/>
        <w:t>53.</w:t>
      </w:r>
      <w:r>
        <w:tab/>
        <w:t>Povinnosť chrániť zahŕňa aj zákaz diskriminačných postupov, ako je napr. vylúčenie jednotlivcov alebo skupín z poskytovania určitých služieb. Zmluvné štáty by mali zakázať a zabrániť tretím stranám vo vytváraní praktických alebo procedurálnych prekážok nezávislého spôsobu života a začlenenia do spoločnosti, napríklad tým, že zabezpečia, aby poskytované služby vyhovovali požiadavkám na nezávislý spôsob života v spoločnosti a aby osobám so zdravotným postihnutím nebola odopretá možnosť prenájmu alebo neboli znevýhodnení na trhu s nehnuteľnosťami. Všeobecné komunitné služby určené verejnosti, ako napr. knižnice, bazény, verejné parky/priestory, obchody, pošty a kiná musia byť prístupné a zohľadňovať požiadavky osôb so zdravotným postihnutím v znení podľa Všeobecného komentára č. 2 (2014) k dostupnosti Výboru pre práva osôb so zdravotným postihnutím.</w:t>
      </w:r>
    </w:p>
    <w:p w14:paraId="43F9763C" w14:textId="77777777" w:rsidR="00BC795F" w:rsidRPr="00EC43CE" w:rsidRDefault="00BC795F" w:rsidP="000E29B0">
      <w:pPr>
        <w:pStyle w:val="H1G"/>
      </w:pPr>
      <w:r>
        <w:tab/>
        <w:t>C.</w:t>
      </w:r>
      <w:r>
        <w:tab/>
        <w:t>Povinnosť plniť</w:t>
      </w:r>
    </w:p>
    <w:p w14:paraId="5439A60D" w14:textId="2D4F484A" w:rsidR="00BC795F" w:rsidRPr="00EC43CE" w:rsidRDefault="00BC795F" w:rsidP="00A44550">
      <w:pPr>
        <w:pStyle w:val="SingleTxtG"/>
      </w:pPr>
      <w:r>
        <w:t>54.</w:t>
      </w:r>
      <w:r>
        <w:tab/>
        <w:t>Povinnosť plniť od zmluvných štátov vyžaduje, aby podporovali, umožňovali a stanovovali primerané legislatívne, administratívne, rozpočtové, súdne, programové, podporné a iné opatrenia na zaistenie plného uplatňovania práva na nezávislý spôsob života a začlenenie do spoločnosti v znení podľa dohovoru. Povinnosť plniť pre zmluvné štáty znamená aj to, aby prijali opatrenia na odstránenie praktických prekážok plného uplatňovania práva na nezávislý spôsob života a začlenenie do spoločnosti, ako napr. neprístupné bývanie, obmedzený prístup k službám na podporu osôb so zdravotným postihnutím, neprístupné zariadenia, tovary a služby v danej spoločnosti a predsudky voči takýmto osobám.</w:t>
      </w:r>
    </w:p>
    <w:p w14:paraId="42A41AC9" w14:textId="77777777" w:rsidR="00BC795F" w:rsidRPr="00EC43CE" w:rsidRDefault="00BC795F" w:rsidP="00A44550">
      <w:pPr>
        <w:pStyle w:val="SingleTxtG"/>
      </w:pPr>
      <w:r>
        <w:t>55.</w:t>
      </w:r>
      <w:r>
        <w:tab/>
        <w:t>Zmluvné štáty by mali splnomocniť členov rodiny na podporovanie rodinných príslušníkov so zdravotným postihnutím, aby si mohli tieto osoby uplatňovať svoje právo na nezávislý spôsob života a začlenenie do spoločnosti.</w:t>
      </w:r>
    </w:p>
    <w:p w14:paraId="2CA47799" w14:textId="55951AAB" w:rsidR="00BC795F" w:rsidRPr="00EC43CE" w:rsidRDefault="00BC795F" w:rsidP="00A44550">
      <w:pPr>
        <w:pStyle w:val="SingleTxtG"/>
      </w:pPr>
      <w:r>
        <w:t>56.</w:t>
      </w:r>
      <w:r>
        <w:tab/>
        <w:t>Pri vykonávaní právnych predpisov, politík a programov musia zmluvné štáty úzko spolupracovať s rôznymi osobami so zdravotným postihnutím a aktívne ich zapájať do tohto procesu prostredníctvom ich zastupiteľských organizácií, a to vo všetkých ohľadoch týkajúcich sa nezávislého spôsobu života v spoločnosti, najmä pri vytváraní podporných služieb a investovaní zdrojov do týchto služieb v rámci danej spoločnosti.</w:t>
      </w:r>
    </w:p>
    <w:p w14:paraId="3C8CF59C" w14:textId="542CFF84" w:rsidR="00BC795F" w:rsidRPr="00EC43CE" w:rsidRDefault="00BC795F" w:rsidP="00A44550">
      <w:pPr>
        <w:pStyle w:val="SingleTxtG"/>
      </w:pPr>
      <w:r>
        <w:t>57.</w:t>
      </w:r>
      <w:r>
        <w:tab/>
        <w:t>Zmluvné štáty musia prijať stratégiu a konkrétny akčný plán deinštitucionalizácie. Táto povinnosť by mala zahŕňať aj povinnosť realizovať štrukturálne reformy, zlepšiť osobám so zdravotným postihnutím prístupnosť v rámci danej komunity a zvýšiť povedomie všetkých osôb v spoločnosti o začleňovaní osôb so zdravotným postihnutím do danej komunity.</w:t>
      </w:r>
    </w:p>
    <w:p w14:paraId="06B73106" w14:textId="5D534C49" w:rsidR="00BC795F" w:rsidRPr="00EC43CE" w:rsidRDefault="00BC795F" w:rsidP="00A44550">
      <w:pPr>
        <w:pStyle w:val="SingleTxtG"/>
      </w:pPr>
      <w:r>
        <w:t>58.</w:t>
      </w:r>
      <w:r>
        <w:tab/>
        <w:t>Deinštitucionalizácia vyžaduje aj systémovú transformáciu, ktorá zahŕňa zatvorenie ústavných zariadení a odstránenie inštitucionalizačných nariadení v rámci komplexnej stratégie spolu s vytvorením rôznych individualizovaných podporných služieb, vrátane individualizovaných plánov tejto premeny s rozpočtami, časovými rámcami a prístupnými podpornými službami. Z toho dôvodu je potrebný koordinovaný, medzivládny prístup, ktorý zabezpečuje reformy, rozpočtové prostriedky a vhodné zmeny postoja na všetkých úrovniach a vo všetkých sektoroch vlády, vrátane miestnych orgánov.</w:t>
      </w:r>
    </w:p>
    <w:p w14:paraId="3CE0745E" w14:textId="77777777" w:rsidR="00BC795F" w:rsidRPr="00EC43CE" w:rsidRDefault="00BC795F" w:rsidP="00A44550">
      <w:pPr>
        <w:pStyle w:val="SingleTxtG"/>
      </w:pPr>
      <w:r>
        <w:t>59.</w:t>
      </w:r>
      <w:r>
        <w:tab/>
        <w:t>Programy a nároky na podporu nezávislého spôsobu života v spoločnosti musia pokrývať náklady spojené so zdravotným postihnutím. Okrem toho je pre deinštitucionalizáciu (vrátane obydlí pre rodiny) rozhodujúce zabezpečenie dostupnosti dostatočného počtu prístupných a cenovo prijateľných bytových jednotiek. Dôležité je aj to, aby prístup k bývaniu nebol podmienený požiadavkami, ktoré znižujú autonómiu a nezávislosť osôb so zdravotným postihnutím. Budovy a priestory určené verejnosti a všetky formy dopravy musia byť navrhnuté tak, aby vyhovovali požiadavkám všetkých osôb so zdravotným postihnutím. Zmluvné štáty musia podniknúť premyslené a okamžité kroky na prerozdelenie finančných prostriedkov na účely uplatňovania práva osôb so zdravotným postihnutím na nezávislý život v spoločnosti.</w:t>
      </w:r>
    </w:p>
    <w:p w14:paraId="09DD150A" w14:textId="5FA2647C" w:rsidR="00BC795F" w:rsidRPr="00EC43CE" w:rsidRDefault="00BC795F" w:rsidP="00A44550">
      <w:pPr>
        <w:pStyle w:val="SingleTxtG"/>
      </w:pPr>
      <w:r>
        <w:t>60.</w:t>
      </w:r>
      <w:r>
        <w:tab/>
        <w:t xml:space="preserve">Podporné služby určené osobám so zdravotným postihnutím musia byť k dispozícii, prístupné, cenovo dostupné, prijateľné a prispôsobiteľné všetkým osobám so zdravotným </w:t>
      </w:r>
      <w:r>
        <w:lastRenderedPageBreak/>
        <w:t>postihnutím a zohľadňovať rôzne životné podmienky, ako napríklad individuálny alebo rodinný príjem a individuálne okolnosti, ako napríklad pohlavie, vek, národnostný alebo etnický pôvod, jazykovú, náboženskú, sexuálnu a/alebo rodovú identitu. Model, ktorý sa zaoberá problematikou zdravotného postihnutia a vychádza z ľudských práv, neumožňuje vylúčenie osôb so zdravotným postihnutím zo žiadneho dôvodu, vrátane druhu a množstva požadovaných podporných služieb. Podporné služby, vrátane osobnej asistencie by sa nemali zdieľať s inými osobami, pokiaľ také zdieľanie nevychádza z rozhodnutia prijatého na základe slobodného a informovaného súhlasu.</w:t>
      </w:r>
    </w:p>
    <w:p w14:paraId="017CE0C7" w14:textId="73F5CC53" w:rsidR="00BC795F" w:rsidRPr="00EC43CE" w:rsidRDefault="00BC795F" w:rsidP="00A44550">
      <w:pPr>
        <w:pStyle w:val="SingleTxtG"/>
      </w:pPr>
      <w:r>
        <w:t>61.</w:t>
      </w:r>
      <w:r>
        <w:tab/>
        <w:t>Zmluvné štáty musia zahrnúť do kritérií oprávnenosti prístupu k osobnej asistencii nasledujúce prvky: k hodnoteniu zaujať prístup, ktorý rieši problematiku zdravotného postihnutia na základe ľudských práv, zamerať sa na individuálne požiadavky, ktoré existujú skôr kvôli prekážkam v spoločnosti ako v dôsledku zdravotného postihnutia, zohľadniť a riadiť sa vôľou a preferenciami danej osoby a zabezpečiť plnú účasť osôb so zdravotným postihnutím v rozhodovacom procese.</w:t>
      </w:r>
    </w:p>
    <w:p w14:paraId="2EC7D1FD" w14:textId="37AC7FD8" w:rsidR="00BC795F" w:rsidRPr="00EC43CE" w:rsidRDefault="00BC795F" w:rsidP="00A44550">
      <w:pPr>
        <w:pStyle w:val="SingleTxtG"/>
      </w:pPr>
      <w:r>
        <w:t>62.</w:t>
      </w:r>
      <w:r>
        <w:tab/>
        <w:t>Hotovostné prevody, ako napr. invalidné dávky predstavujú jednu z foriem, akou zmluvné štáty poskytujú podporu osobám so zdravotným postihnutím v súlade s článkami 19 a 28 dohovoru. Takéto hotovostné prevody často zohľadňujú výdavky spojené so zdravotným postihnutím a uľahčujú plné začlenenie osôb so zdravotným postihnutím do spoločnosti. Hotovostné prevody takisto riešia situácie chudoby a extrémnej chudoby, v ktorých sa môžu osoby so zdravotným postihnutím ocitnúť. Zmluvné štáty nesmú prispievať k ťažkostiam, s ktorými sa osoby so zdravotným postihnutím vyrovnávajú tým, že znižujú ich príjem v čase hospodárskej alebo finančnej krízy alebo prijímajú úsporné opatrenia, ktoré sú nezlučiteľné s normami o ľudských právach vo vyššie uvedenom ods. 38.</w:t>
      </w:r>
    </w:p>
    <w:p w14:paraId="42CFAA62" w14:textId="6FB14653" w:rsidR="00BC795F" w:rsidRPr="00EC43CE" w:rsidRDefault="00BC795F" w:rsidP="00A44550">
      <w:pPr>
        <w:pStyle w:val="SingleTxtG"/>
      </w:pPr>
      <w:r>
        <w:t>63.</w:t>
      </w:r>
      <w:r>
        <w:tab/>
        <w:t>Podpora osôb so zdravotným postihnutím by sa mala posudzovať a hodnotiť pomocou prístupu prispôsobeného individuálnym potrebám, konkrétnym aktivitám a skutočným prekážkam ich začlenenia do spoločnosti, s ktorými sa musia vyrovnávať. V danom hodnotení je potrebné zohľadniť, že osoby so zdravotným postihnutím požadujú prístup k činnostiam, ktoré sa v priebehu času menia. Zmluvné štáty by mali zabezpečiť, aby personalizácia podpory, t.</w:t>
      </w:r>
      <w:r w:rsidR="00232C4F">
        <w:t xml:space="preserve"> </w:t>
      </w:r>
      <w:r>
        <w:t>j. jej prispôsobenie osobným potrebám, vrátane hotovostných prevodov/osobných rozpočtov zohľadňovala a riešila problémy, ktorým osoby so zdravotným postihnutím čelia, ak žijú vo vidieckych a/alebo mestských oblastiach.</w:t>
      </w:r>
    </w:p>
    <w:p w14:paraId="33C83DEB" w14:textId="77777777" w:rsidR="00BC795F" w:rsidRPr="00EC43CE" w:rsidRDefault="00BC795F" w:rsidP="00A44550">
      <w:pPr>
        <w:pStyle w:val="SingleTxtG"/>
      </w:pPr>
      <w:r>
        <w:t>64.</w:t>
      </w:r>
      <w:r>
        <w:tab/>
        <w:t>Zmluvné štáty by mali poskytovať a šíriť včasné, aktuálne a presné informácie nevyhnutné na kvalifikované prijímanie rozhodnutí o možnostiach nezávislého spôsobu života a podporných službách v danej spoločnosti. Tieto informácie by sa mali sprostredkúvať v prístupných formátoch, vrátane Braillovho písma, posunkovej reči, taktilnej reči a iných ľahko čitateľných formátov a využívaním metód alternatívnej a augmentatívnej komunikácie.</w:t>
      </w:r>
    </w:p>
    <w:p w14:paraId="23FC271B" w14:textId="7EE3DB94" w:rsidR="00BC795F" w:rsidRPr="00EC43CE" w:rsidRDefault="00BC795F" w:rsidP="00A44550">
      <w:pPr>
        <w:pStyle w:val="SingleTxtG"/>
      </w:pPr>
      <w:r>
        <w:t>65.</w:t>
      </w:r>
      <w:r>
        <w:tab/>
        <w:t>Zmluvné štáty by mali zabezpečiť, aby personál, ktorý pracuje alebo má pracovať so službami týkajúcimi sa osôb so zdravotným postihnutím, vrátane servisného personálu, osôb s rozhodovacími právomocami a štátnych zamestnancov monitorujúcich služby určené týmto osobám, bol adekvátne teoreticky aj prakticky vyškolený o problematike nezávislého spôsobu života v spoločnosti. Zmluvné štáty by mali v súlade s článkom 19 stanoviť aj kritériá týkajúce sa subjektov žiadajúcich o povolenie poskytovať sociálnu podporu osobám so zdravotným postihnutím, aby tieto mohli viesť nezávislý spôsob života a zároveň vyhodnocovať, akým spôsobom si plnia svoje povinnosti. Takisto by mali zmluvné štáty zabezpečiť, aby medzinárodná spolupráca v súlade s článkom 32 dohovoru a v rámci nej uskutočnené investície a projekty neprispievali k pretrvávaniu prekážok nezávislého spôsobu života v rámci spoločnosti, ale aby skôr tieto prekážky odstránili a podporili uplatňovanie práva na nezávislý spôsob života a začlenenie do spoločnosti. Následne po situáciách spôsobených živelnými pohromami a inými katastrofami je dôležité, aby sa dané prekážky znovu nebudovali v rámci uplatňovania článku 11 dohovoru.</w:t>
      </w:r>
    </w:p>
    <w:p w14:paraId="1B74FC45" w14:textId="77777777" w:rsidR="00BC795F" w:rsidRPr="00EC43CE" w:rsidRDefault="00BC795F" w:rsidP="00A44550">
      <w:pPr>
        <w:pStyle w:val="SingleTxtG"/>
      </w:pPr>
      <w:r>
        <w:t>66.</w:t>
      </w:r>
      <w:r>
        <w:tab/>
        <w:t>Osobám so zdravotným postihnutím usilujúcim sa o presadenie svojho práva na nezávislý spôsob života v spoločnosti musia zmluvné štáty zabezpečiť prístup k spravodlivosti, poskytnúť právnu pomoc, zodpovedajúce právne poradenstvo, opravné prostriedky a podporu, a to aj prostredníctvom primeraných a procedurálnych úprav.</w:t>
      </w:r>
    </w:p>
    <w:p w14:paraId="71FEA527" w14:textId="77777777" w:rsidR="00BC795F" w:rsidRPr="00EC43CE" w:rsidRDefault="00BC795F" w:rsidP="00A44550">
      <w:pPr>
        <w:pStyle w:val="SingleTxtG"/>
      </w:pPr>
      <w:r>
        <w:lastRenderedPageBreak/>
        <w:t>67.</w:t>
      </w:r>
      <w:r>
        <w:tab/>
        <w:t>Zmluvné štáty by mali poskytovať primerané podporné služby rodinným opatrovateľom, aby títo mohli následne viesť svoje dieťa alebo príbuzného k nezávislému spôsobu života. Táto podpora by mala zahŕňať služby respitnej starostlivosti, služby starostlivosti o deti a iné podporné rodičovské služby. Takisto je dôležitá finančná podpora pre rodinných opatrovateľov, ktorí často žijú v extrémnej chudobe bez možnosti prístupu k trhu práce. Zmluvné štáty by mali poskytovať aj sociálnu podporu rodinám a podporovať rozvoj poradenských služieb, podporných skupín a iný primeraných možností podpory.</w:t>
      </w:r>
    </w:p>
    <w:p w14:paraId="5112AAF3" w14:textId="77777777" w:rsidR="00BC795F" w:rsidRPr="00EC43CE" w:rsidRDefault="00BC795F" w:rsidP="00A44550">
      <w:pPr>
        <w:pStyle w:val="SingleTxtG"/>
      </w:pPr>
      <w:r>
        <w:t>68.</w:t>
      </w:r>
      <w:r>
        <w:tab/>
        <w:t>Zmluvné štáty musia pravidelne vykonávať prieskumy a iné formy analýzy, ktoré poskytujú údaje o fyzických, komunikačných, environmentálnych, infraštruktúrnych a postojových bariérach, s ktorými sa osoby so zdravotným postihnutím stretávajú, vrátane požiadaviek na uplatňovanie práva na nezávislý spôsob života v spoločnosti.</w:t>
      </w:r>
    </w:p>
    <w:p w14:paraId="543507C4" w14:textId="77777777" w:rsidR="00BC795F" w:rsidRPr="00EC43CE" w:rsidRDefault="00BC795F" w:rsidP="0019561B">
      <w:pPr>
        <w:pStyle w:val="HChG"/>
      </w:pPr>
      <w:r>
        <w:tab/>
        <w:t>IV.</w:t>
      </w:r>
      <w:r>
        <w:tab/>
        <w:t>Vzťah k iným ustanoveniam dohovoru</w:t>
      </w:r>
    </w:p>
    <w:p w14:paraId="1177BBBA" w14:textId="77777777" w:rsidR="00BC795F" w:rsidRPr="00EC43CE" w:rsidRDefault="00BC795F" w:rsidP="00A44550">
      <w:pPr>
        <w:pStyle w:val="SingleTxtG"/>
      </w:pPr>
      <w:r>
        <w:t>69.</w:t>
      </w:r>
      <w:r>
        <w:tab/>
        <w:t>Právo na nezávislý spôsob života a začlenenie do spoločnosti vzájomne súvisí s výkonom iných ľudských práv ustanovených v dohovore. Pričom nejde len o súhrn týchto práv, keďže v dohovore sa zdôrazňuje, že všetky práva by sa mali uplatňovať a využívať v takej spoločnosti, kde sa osoba rozhodne žiť a v ktorej jedine môže slobodne a plne rozvinúť svoju osobnosť.</w:t>
      </w:r>
    </w:p>
    <w:p w14:paraId="39699A06" w14:textId="066BBFAB" w:rsidR="00BC795F" w:rsidRPr="00EC43CE" w:rsidRDefault="00BC795F" w:rsidP="00A44550">
      <w:pPr>
        <w:pStyle w:val="SingleTxtG"/>
      </w:pPr>
      <w:r>
        <w:t>70.</w:t>
      </w:r>
      <w:r>
        <w:tab/>
        <w:t>Konzultácie s osobami so zdravotným postihnutím a ich aktívne zapojenie prostredníctvom zastupiteľských organizácií (článok 4 ods. 3) sú rozhodujúce pre prijatie všetkých plánov a stratégií, ako aj pre následnú kontrolu a monitorovanie pri uplatňovaní práva na nezávislý spôsob života v spoločnosti. Osoby s rozhodovacou právomocou musia na všetkých úrovniach konzultovať s celým radom osôb so zdravotným postihnutím, vrátane organizácií žien so zdravotným postihnutím, starších ľudí so zdravotným postihnutím, detí so zdravotným postihnutím, osôb s psychosociálnym postihnutím a osôb s mentálnym postihnutím a aktívne ich do daného procesu zapájať.</w:t>
      </w:r>
    </w:p>
    <w:p w14:paraId="2346AEA6" w14:textId="6EA4C32F" w:rsidR="00BC795F" w:rsidRPr="00EC43CE" w:rsidRDefault="00BC795F" w:rsidP="00A44550">
      <w:pPr>
        <w:pStyle w:val="SingleTxtG"/>
      </w:pPr>
      <w:r>
        <w:t>71.</w:t>
      </w:r>
      <w:r>
        <w:tab/>
        <w:t>Nediskriminácia (čl. 5) je v prípade nezávislého spôsobu života a začlenenia do spoločnosti dôležitá pri získavaní prístupu k podporným službám a ich prijímaní. Zmluvné štáty by mali definovať kritériá a postupy oprávnenosti prístupu k podporným službám nediskriminačným a objektívnym spôsobom a sústrediť sa skôr na požiadavky danej osoby ako na jej zdravotné postihnutie pri zaujímaní postoja zlučiteľného s ľudskými právami. Vytvorenie špecifických služieb pre osoby so zdravotným postihnutím pri zohľadnení ich osobitej situácie a v súlade s ich požiadavkami, ako napríklad služby pre deti, študentov, zamestnancov a staršie osoby so zdravotným postihnutím, by sa nemalo považovať za diskriminačné porušenie dohovoru, ale skôr za spravodlivú a právne dostupnú pozitívnu diskrimináciu. Osoby so zdravotným postihnutím, ktoré čelia diskriminácii v súvislosti s článkom 19, musia mať k dispozícii účinné a cenovo dostupné opravné prostriedky.</w:t>
      </w:r>
    </w:p>
    <w:p w14:paraId="69A6E14E" w14:textId="41E0C787" w:rsidR="00BC795F" w:rsidRPr="00EC43CE" w:rsidRDefault="00BC795F" w:rsidP="00A44550">
      <w:pPr>
        <w:pStyle w:val="SingleTxtG"/>
      </w:pPr>
      <w:r>
        <w:t>72.</w:t>
      </w:r>
      <w:r>
        <w:tab/>
        <w:t>Ženy a dievčatá so zdravotným postihnutím (čl. 6) sú často vylúčenejšie a izolovanejšie a vyrovnávajú sa s väčším množstvom obmedzení súvisiacich s ich miestom bydliska a životnými podmienkami v dôsledku paternalistických stereotypov a patriarchálnych sociálnych modelov, ktoré diskriminujú ženy v spoločnosti. Ženy a dievčatá so zdravotným postihnutím takisto zažívajú rodovú, viacnásobnú a prierezovú diskrimináciu, väčšie riziko inštitucionalizácie a násilia, vrátane sexuálneho násilia, zneužívania a obťažovania.</w:t>
      </w:r>
      <w:r w:rsidRPr="00C15829">
        <w:rPr>
          <w:rStyle w:val="Odkaznapoznmkupodiarou"/>
        </w:rPr>
        <w:footnoteReference w:id="8"/>
      </w:r>
      <w:r>
        <w:t xml:space="preserve"> Zmluvné štáty musia obetiam násilia a zneužívania poskytnúť cenovo dostupný, príp. bezplatný opravný prostriedok a podporné služby. Ženy s postihnutím, ktoré čelia domácemu násiliu, sú často viac ekonomicky, fyzicky alebo emocionálne závislé od zneužívajúcich osôb, ktoré sú zvyčajne ich opatrovateľmi. Ide o situáciu, ktorá im bráni opustiť násilné vzťahy a vedie k ešte väčšej sociálnej izolácii. Pri uplatňovaní práva na nezávislý spôsob života a začlenenie do spoločnosti by sa preto mala venovať osobitná pozornosť rovnosti medzi mužmi a ženami, odstráneniu rodovej diskriminácie a patriarchálnych sociálnych modelov.</w:t>
      </w:r>
    </w:p>
    <w:p w14:paraId="421E66B8" w14:textId="67535DC8" w:rsidR="00BC795F" w:rsidRPr="00EC43CE" w:rsidRDefault="00BC795F" w:rsidP="00A44550">
      <w:pPr>
        <w:pStyle w:val="SingleTxtG"/>
      </w:pPr>
      <w:r>
        <w:lastRenderedPageBreak/>
        <w:t>73.</w:t>
      </w:r>
      <w:r>
        <w:tab/>
        <w:t>Kultúrne normy a hodnoty môžu nepriaznivo obmedziť možnosti voľby a kontrolu žien a dievčat so zdravotným postihnutím nad ich životnými podmienkami, obmedziť ich osobnú autonómiu, donútiť ich k životu v určitých podmienkach, vyžadovať, aby potlačili svoje vlastné požiadavky a namiesto toho vyhoveli požiadavkám iných a aby prevzali niektoré úlohy v rámci rodiny.</w:t>
      </w:r>
      <w:r w:rsidRPr="00C15829">
        <w:rPr>
          <w:rStyle w:val="Odkaznapoznmkupodiarou"/>
        </w:rPr>
        <w:footnoteReference w:id="9"/>
      </w:r>
      <w:r>
        <w:t xml:space="preserve"> Zmluvné štáty by mali prijať opatrenia na riešenie diskriminácie žien a ich prekážok v prístupe k sociálnym službám a podpore a zároveň zabezpečiť, aby rôzne politiky, programy a stratégie týkajúce sa prístupu k sociálnym službám a podpore náležite zohľadňovali rovnosť medzi ženami a mužmi.</w:t>
      </w:r>
    </w:p>
    <w:p w14:paraId="23578493" w14:textId="77777777" w:rsidR="00BC795F" w:rsidRPr="00EC43CE" w:rsidRDefault="00BC795F" w:rsidP="00A44550">
      <w:pPr>
        <w:pStyle w:val="SingleTxtG"/>
      </w:pPr>
      <w:r>
        <w:t>74.</w:t>
      </w:r>
      <w:r>
        <w:tab/>
        <w:t>Takisto by mali zmluvné štáty zabezpečiť, aby opatrenia zamerané na rozvoj, posilnenie a zlepšenie postavenia žien a dievčat so zdravotným postihnutím (čl. 6 ods. 2) riešili rodové nerovnosti v prístupe k podpore a sociálnej ochrane. Zmluvné štáty by mali prijať primerané opatrenia na presadzovanie rovnováhy medzi pracovným a súkromným životom (zdroje, čas a služby), ktoré podporujú ženy so zdravotným postihnutím pri opätovnom vstúpení na otvorený trh práce a na zaistenie rovnakých práv a povinností medzi ženami a mužmi pri plnení rodičovských povinností.</w:t>
      </w:r>
      <w:r w:rsidRPr="00C15829">
        <w:rPr>
          <w:rStyle w:val="Odkaznapoznmkupodiarou"/>
        </w:rPr>
        <w:footnoteReference w:id="10"/>
      </w:r>
      <w:r>
        <w:t xml:space="preserve"> Zmluvné štáty sú tiež povinné zabezpečiť, aby boli zariadenia pre obete rodovo podmieneného násilia plne prístupné ženám a dievčatám so zdravotným postihnutím.</w:t>
      </w:r>
    </w:p>
    <w:p w14:paraId="6F85CC2C" w14:textId="0441B666" w:rsidR="00BC795F" w:rsidRPr="00EC43CE" w:rsidRDefault="00BC795F" w:rsidP="00A44550">
      <w:pPr>
        <w:pStyle w:val="SingleTxtG"/>
      </w:pPr>
      <w:r>
        <w:t>75.</w:t>
      </w:r>
      <w:r>
        <w:tab/>
        <w:t>Existencia primeraných a vek zohľadňujúcich podporných služieb pre dievčatá a chlapcov so zdravotným postihnutím má zásadný význam pre rovnaké uplatňovanie ich ľudských práv (čl. 7). Rozhodujúci význam má rešpektovanie rozvíjajúcich sa schopností detí so zdravotným postihnutím a ich podporovanie, aby sa podieľali na rozhodnutiach ovplyvňujúcich ich životy. Dôležité je aj poskytnúť podporu, informácie a poradenstvo rodinám (čl. 23), aby sa zabránilo umiestňovaniu detí so zdravotným postihnutím do ústavnej starostlivosti a zároveň mať zavedené inkluzívne politiky v oblasti adopcie s cieľom zaistiť deťom so zdravotným postihnutím rovnaké príležitosti.</w:t>
      </w:r>
    </w:p>
    <w:p w14:paraId="7AF6ACD7" w14:textId="67FF1A61" w:rsidR="00BC795F" w:rsidRPr="00EC43CE" w:rsidRDefault="00BC795F" w:rsidP="00A44550">
      <w:pPr>
        <w:pStyle w:val="SingleTxtG"/>
      </w:pPr>
      <w:r>
        <w:t>76.</w:t>
      </w:r>
      <w:r>
        <w:tab/>
        <w:t>Pokiaľ ide o sociálne interakcie a vzťahy s rovesníkmi, dospievajúce osoby môžu uprednostniť osobnú asistenciu alebo profesionálnych tlmočníkov posunkovej reči pred neformálnou podporou zo strany príbuzných. Pre deti a dospievajúcich so zdravotným postihnutím by mali zmluvné štáty zaviesť inovačné formy podpory a prístupné služby prostredníctvom osobného kontaktu alebo svojich organizácií. Deti so zdravotným postihnutím môžu potrebovať podporu pri vykonávaní športových alebo iných aktivít v danej spoločnosti s inými deťmi v ich veku. Aj dospievajúci so zdravotným postihnutím by mali mať možnosť tráviť čas a zúčastňovať sa voľnočasových aktivít so svojimi rovesníkmi. Zmluvné štáty musia poskytnúť kompenzačné pomôcky a technológie, ktoré dokážu dospievajúcim so zdravotným postihnutím uľahčiť ich začlenenie medzi rovesníkov. Okrem toho sú pre podporu nezávislého spôsobu života rozhodujúce aj služby, ktoré napomáhajú mladým ľuďom pri prechode do fázy dospelosti, vrátane podpory pri odchode z rodinného prostredia, zamestnania sa a pokračovania vo vysokoškolskom vzdelávaní.</w:t>
      </w:r>
    </w:p>
    <w:p w14:paraId="6451B3DB" w14:textId="22BC2AD2" w:rsidR="00BC795F" w:rsidRPr="00EC43CE" w:rsidRDefault="00BC795F" w:rsidP="00A44550">
      <w:pPr>
        <w:pStyle w:val="SingleTxtG"/>
      </w:pPr>
      <w:r>
        <w:t>77.</w:t>
      </w:r>
      <w:r>
        <w:tab/>
        <w:t>Zvyšovanie povedomia (čl. 8) je nevyhnutné na vytvorenie prístupných, umožňujúcich a inkluzívnych spoločenstiev, keďže článok 19 sa vo svojej podstate zaoberá transformáciou spoločenstiev. Stereotypy, diskriminácia postihnutých (ableizmus) a mylné predstavy, ktoré bránia osobám so zdravotným postihnutím viesť nezávislý spôsob života, sa musia odstráni</w:t>
      </w:r>
      <w:r w:rsidR="00FE7578">
        <w:t>ť</w:t>
      </w:r>
      <w:r>
        <w:t>. Zároveň je potrebné budovať a propagovať ich pozitívny obraz a šíriť informácie o tom, aký majú podiel v našej spoločnosti. Okrem toho by sa malo zvyšovať povedomie orgánov, štátnych úradníkov, odborníkov, médií, širokej verejnosti, ako aj osôb so zdravotným postihnutím a ich rodinných príslušníkov. Všetky aktivity na zvyšovanie povedomia je potrebné vykonávať v úzkej spolupráci s osobami so zdravotným postihnutím prostredníctvom ich zastupiteľských organizácií.</w:t>
      </w:r>
    </w:p>
    <w:p w14:paraId="2D6DCD39" w14:textId="40A3E556" w:rsidR="00BC795F" w:rsidRPr="00EC43CE" w:rsidRDefault="00BC795F" w:rsidP="00A44550">
      <w:pPr>
        <w:pStyle w:val="SingleTxtG"/>
      </w:pPr>
      <w:r>
        <w:t>78.</w:t>
      </w:r>
      <w:r>
        <w:tab/>
        <w:t xml:space="preserve">Práva ustanovené v článku 19 sú viazané na povinnosti zmluvných štátov ohľadom prístupnosti (čl. 9), pretože všeobecná prístupnosť celej zastavanej oblasti, dopravy, informácií, komunikačných a iných súvisiacich zariadení a služieb určených verejnosti v určitej spoločnosti je nevyhnutným predpokladom zaistenia nezávislého spôsobu života v </w:t>
      </w:r>
      <w:r>
        <w:lastRenderedPageBreak/>
        <w:t>takej spoločnosti. V článku 9 sa vyžaduje identifikácia a odstránenie prekážok v budovách určených verejnosti, ako napríklad revízia stavebného zákona a zákona o územnom plánovaní, začlenenie štandardov univerzálneho dizajnu do rôznych sektorov a stanovenie štandardov dostupnosti pre oblasť bytovej výstavby.</w:t>
      </w:r>
    </w:p>
    <w:p w14:paraId="6866D66D" w14:textId="77777777" w:rsidR="00BC795F" w:rsidRPr="00EC43CE" w:rsidRDefault="00BC795F" w:rsidP="00A44550">
      <w:pPr>
        <w:pStyle w:val="SingleTxtG"/>
      </w:pPr>
      <w:r>
        <w:t>79.</w:t>
      </w:r>
      <w:r>
        <w:tab/>
        <w:t>Zmluvné štáty musia vopred zvážiť povinnosť poskytovať podporné služby osobám so zdravotným postihnutím pri všetkých činnostiach riadenia živelných a prírodných rizík (čl. 11) a uistiť sa, že nezostali bez povšimnutia alebo zabudnuté. Takisto je dôležité, aby sa po vzniku ozbrojených konfliktov, humanitárnych mimoriadnych udalostí či prírodnej katastrofy prekážky opätovne nevybudovali. Rekonštrukčné procesy musia osobám so zdravotným postihnutím zabezpečiť plnú dostupnosť, aby mohli viesť nezávislý spôsob života v danej spoločnosti.</w:t>
      </w:r>
    </w:p>
    <w:p w14:paraId="4C3D01D1" w14:textId="77777777" w:rsidR="00BC795F" w:rsidRPr="00EC43CE" w:rsidRDefault="00BC795F" w:rsidP="00164124">
      <w:pPr>
        <w:pStyle w:val="SingleTxtG"/>
      </w:pPr>
      <w:r>
        <w:t>80.</w:t>
      </w:r>
      <w:r>
        <w:tab/>
        <w:t>Rovnaké uznanie pred zákonom (čl. 12) zabezpečuje, aby všetky osoby so zdravotným postihnutím mali právo na plnú právnu spôsobilosť, a teda rovnaké právo rozhodovať o svojom živote a mať nad ním kontrolu tým, že si môžu zvoliť, kde, s kým a ako chcú žiť, ako aj právo na získanie podpory v súlade s ich vôľou a preferenciami. Na dosiahnutie prechodu k podporovanému rozhodovaniu v plnom rozsahu a používanie práv stanovených v článku 12 je nevyhnutne potrebné, aby mali osoby so zdravotným postihnutím príležitosť rozvíjať a vyjadrovať svoje želania a preferencie, a mohli tak uplatňovať svoju právnu spôsobilosť rovnako ako ostatní. Avšak za týmto účelom musia byť osoby so zdravotným postihnutím súčasťou spoločnosti. Okrem toho by sa pri uplatňovaní právnej spôsobilosti mala podpora poskytovať pomocou prístupu zameraného na komunitu, ktorý rešpektuje želania a preferencie osôb so zdravotným postihnutím.</w:t>
      </w:r>
    </w:p>
    <w:p w14:paraId="5B7B902E" w14:textId="77777777" w:rsidR="00BC795F" w:rsidRPr="00EC43CE" w:rsidRDefault="00BC795F" w:rsidP="00A44550">
      <w:pPr>
        <w:pStyle w:val="SingleTxtG"/>
      </w:pPr>
      <w:r>
        <w:t>81.</w:t>
      </w:r>
      <w:r>
        <w:tab/>
        <w:t>Prístup k spravodlivosti v znení podľa článku 13 je základným predpokladom na zabezpečenie plného uplatňovania práva na nezávislý život v spoločnosti. Zmluvné štáty musia zabezpečiť, aby mali všetky osoby so zdravotným postihnutím právnu spôsobilosť a právo konať pred súdom. Navyše musia zmluvné štáty zaistiť, aby bolo možné podať odvolanie proti všetkým rozhodnutiam týkajúcim sa nezávislého spôsobu života v spoločnosti. Podpora umožňujúca nezávislý spôsob života v spoločnosti musí byť vymáhateľná ako právo aj nárok. Na zabezpečenie rovnakého a účinného prístupu k spravodlivosti sú nevyhnutné podstatné práva na právnu pomoc, podporu a procesné a vekovo primerané úpravy.</w:t>
      </w:r>
    </w:p>
    <w:p w14:paraId="2E572C13" w14:textId="77777777" w:rsidR="00BC795F" w:rsidRPr="00EC43CE" w:rsidRDefault="00BC795F" w:rsidP="00A44550">
      <w:pPr>
        <w:pStyle w:val="SingleTxtG"/>
      </w:pPr>
      <w:r>
        <w:t>82.</w:t>
      </w:r>
      <w:r>
        <w:tab/>
        <w:t>Nútené umiestnenie do ústavnej starostlivosti na základe zdravotného postihnutia alebo súvisiacich okolností, ako napríklad predpokladaná „nebezpečnosť“ alebo iné faktory, ktoré rozpracoval výbor vo svojich usmerneniach k článku 14, je často spôsobené alebo zintenzívnené v dôsledku nedostatku podporných služieb špecifických pre osoby so zdravotným postihnutím. Uplatňovanie článku 19 tak v konečnom dôsledku zabráni porušovaniu článku 14.</w:t>
      </w:r>
    </w:p>
    <w:p w14:paraId="614295F0" w14:textId="77777777" w:rsidR="00BC795F" w:rsidRPr="00EC43CE" w:rsidRDefault="00BC795F" w:rsidP="00A44550">
      <w:pPr>
        <w:pStyle w:val="SingleTxtG"/>
      </w:pPr>
      <w:r>
        <w:t>83.</w:t>
      </w:r>
      <w:r>
        <w:tab/>
        <w:t>Prvoradou úlohou je zabezpečiť, aby podporné služby neponechali žiadny priestor na potenciálne zneužívanie alebo vykorisťovanie osôb so zdravotným postihnutím alebo akúkoľvek inú formu násilia voči takýmto osobám (čl. 16). Monitorovanie, právna pomoc a opravné prostriedky zohľadňujúce zdravotné postihnutie, pohlavie a vek musia byť dostupné všetkým osobám so zdravotným postihnutím, ktoré využívajú služby uvedené v článku 19 a môžu čeliť zneužívaniu, násiliu a vykorisťovaniu. Keďže ústavné zariadenia majú tendenciu izolovať v nich umiestnené osoby od zvyšku danej komunity, zdravotne postihnuté ženy a dievčatá v ústavnej starostlivosti sa môžu o to ľahšie stať obeťami násilia založeného na rodovej príslušnosti, vrátane nútenej sterilizácie, sexuálneho a fyzického zneužívania, emočného zneužívania a ďalšej izolácie. Takisto čelia väčším prekážkam pri nahlasovaní prípadov takéhoto násilia. Z tohto dôvodu je nevyhnutne potrebné, aby zmluvné štáty zohľadňovali tieto problémy pri monitorovaní ústavných zariadení a zabezpečili odškodnenie tých žien so zdravotným postihnutím, ktoré v týchto zariadeniach zažívajú násilie založené na rodovej príslušnosti.</w:t>
      </w:r>
    </w:p>
    <w:p w14:paraId="527F0B80" w14:textId="6AA1F5DF" w:rsidR="00BC795F" w:rsidRPr="00EC43CE" w:rsidRDefault="00BC795F" w:rsidP="00A44550">
      <w:pPr>
        <w:pStyle w:val="SingleTxtG"/>
      </w:pPr>
      <w:r>
        <w:t>84.</w:t>
      </w:r>
      <w:r>
        <w:tab/>
        <w:t xml:space="preserve">Bez podpory osobnej mobility (čl. 20) budú u mnohých osôb so zdravotným postihnutím aj naďalej existovať prekážky ich nezávislého spôsobu života v spoločnosti. Poskytovanie cenovo prijateľných a dostupných kvalitných pomôcok na mobilitu, kompenzačných pomôcok a technológií, foriem živej/osobnej asistencie a </w:t>
      </w:r>
      <w:r>
        <w:lastRenderedPageBreak/>
        <w:t>sprostredkovateľov v znení podľa článku 20 je nevyhnutným predpokladom plného začlenenia a zapojenia osôb so zdravotným postihnutím do jednotlivých komunít.</w:t>
      </w:r>
    </w:p>
    <w:p w14:paraId="6EE91C3E" w14:textId="77777777" w:rsidR="00BC795F" w:rsidRPr="00EC43CE" w:rsidRDefault="00BC795F" w:rsidP="00A44550">
      <w:pPr>
        <w:pStyle w:val="SingleTxtG"/>
      </w:pPr>
      <w:r>
        <w:t>85.</w:t>
      </w:r>
      <w:r>
        <w:tab/>
        <w:t>Osoby so zdravotným postihnutím majú právo na získanie všetkých verejných informácií v prístupných formátoch a vyhľadávanie, prijímanie a vyjadrovanie informácií a myšlienok rovnako ako ostatní (čl. 21). Oznamy, správy a iné informácie možno sprostredkúvať vo formách a formátoch podľa ich vlastného výberu, vrátane Braillovho písma, posunkovej reči, taktilnej reči a iných ľahko čitateľných formátov a využívaním metód, spôsobov a formátov alternatívnej komunikácie. Takisto je potrebné, aby komunikácia a výmena informácií prebiehali obidvoma smermi a aby boli služby a zariadenia prístupné všetkým osobám používajúcim rôzne spôsoby komunikácie. Mimoriadne dôležité je aj to, aby informácie o podporných službách a systémoch sociálnej ochrany, vrátane mechanizmov na riešenie otázky zdravotného postihnutia boli prístupné a dostupné z rôznych zdrojov s cieľom umožniť osobám so zdravotným postihnutím náležité, kvalifikované prijímanie rozhodnutí o tom, kde, s kým a ako žiť a aká služba im najlepšie vyhovuje. V tejto súvislosti je kľúčové, aby mechanizmy na poskytovanie spätnej väzby a podávanie sťažností boli komunikačne prístupné.</w:t>
      </w:r>
    </w:p>
    <w:p w14:paraId="7FED6231" w14:textId="62625FD9" w:rsidR="00BC795F" w:rsidRPr="00EC43CE" w:rsidRDefault="00BC795F" w:rsidP="00A44550">
      <w:pPr>
        <w:pStyle w:val="SingleTxtG"/>
      </w:pPr>
      <w:r>
        <w:t>86.</w:t>
      </w:r>
      <w:r>
        <w:tab/>
        <w:t>Zmluvné štáty by mali zabezpečiť, aby súkromie, rodina, domov, korešpondencia a česť osôb so zdravotným postihnutím boli pri poskytovaní podporných služieb podľa článku 19 chránené pred akýmkoľvek nezákonným zásahom (čl. 22). Pri akomkoľvek nezákonnom zasahovaní musia byť všetkým osobám so zdravotným postihnutím k dispozícii monitorovanie, právna pomoc a opravné prostriedky zohľadňujúce ich zdravotné postihnutie, pohlavie a vek.</w:t>
      </w:r>
    </w:p>
    <w:p w14:paraId="50DCF2C0" w14:textId="77777777" w:rsidR="00BC795F" w:rsidRPr="00EC43CE" w:rsidRDefault="00BC795F" w:rsidP="00A44550">
      <w:pPr>
        <w:pStyle w:val="SingleTxtG"/>
      </w:pPr>
      <w:r>
        <w:t>87.</w:t>
      </w:r>
      <w:r>
        <w:tab/>
        <w:t>Právo na nezávislý spôsob života v spoločnosti je úzko spojené s právom na rodinu detí a rodičov so zdravotným postihnutím (čl. 23). Chýbajúca podpora a služby zamerané na komunitu môžu na rodinu osôb so zdravotným postihnutím vytvárať finančné tlaky a spôsobovať im obmedzenia. Práva zakotvené v článku 23 sú nevyhnutné, aby sa zabránilo odobratiu detí z ich rodného prostredia a následnému umiestneniu do ústavnej starostlivosti a aby sa podporovali rodiny žijúce v komunite. Tieto práva sú rovnako dôležité na to, aby deti neboli odobraté z ich rodinného prostredia, ak sú ich rodičia zdravotne postihnutí. Zmluvné štáty by mali poskytovať informácie, poradenstvo a podporu rodinám pri presadzovaní práv ich detí a podporovať začlenenie a zapojenie do spoločnosti.</w:t>
      </w:r>
    </w:p>
    <w:p w14:paraId="4759A0D1" w14:textId="730400FD" w:rsidR="00BC795F" w:rsidRPr="00EC43CE" w:rsidRDefault="00BC795F" w:rsidP="00A44550">
      <w:pPr>
        <w:pStyle w:val="SingleTxtG"/>
      </w:pPr>
      <w:r>
        <w:t>88.</w:t>
      </w:r>
      <w:r>
        <w:tab/>
        <w:t>Nezávislý spôsob života a zapojenie do spoločnosti sú neodmysliteľne spojené s inkluzívnym vzdelávaním (čl. 24) a vyžadujú uznanie práva osôb so zdravotným postihnutím viesť nezávislý spôsob života a byť začlenený a zapojený do spoločnosti.</w:t>
      </w:r>
      <w:r w:rsidRPr="00C15829">
        <w:rPr>
          <w:rStyle w:val="Odkaznapoznmkupodiarou"/>
        </w:rPr>
        <w:footnoteReference w:id="11"/>
      </w:r>
      <w:r>
        <w:t xml:space="preserve"> Začleňovanie osôb so zdravotným postihnutím do bežného vzdelávacieho systému prispieva k väčšiemu zapájaniu osôb so zdravotným postihnutím do spoločnosti. Deinštitucionalizácia zahŕňa aj zavedenie inkluzívneho vzdelávania. Zmluvné štáty by si mali uvedomiť významnú úlohu uplatňovania práva na inkluzívne vzdelávanie pri budovaní silných stránok, zručností a schopností, ktoré budú potrebovať všetky osoby so zdravotným postihnutím, aby sa mohli tešiť a mať úžitok zo života v spoločnosti a takisto sa na ňom podieľať.</w:t>
      </w:r>
    </w:p>
    <w:p w14:paraId="547B4F6F" w14:textId="7BA6DF18" w:rsidR="00BC795F" w:rsidRPr="00EC43CE" w:rsidRDefault="00BC795F" w:rsidP="00A44550">
      <w:pPr>
        <w:pStyle w:val="SingleTxtG"/>
      </w:pPr>
      <w:r>
        <w:t>89.</w:t>
      </w:r>
      <w:r>
        <w:tab/>
        <w:t>Všeobecné zdravotné zariadenia a služby (čl. 25) musia byť dostupné, prístupné, prispôsobiteľné a prijateľné pre osoby so zdravotným postihnutím v ich komunitách, vrátane podpory požadovanej niektorými osobami so zdravotným postihnutím (napr. osoby so zložitými komunikačnými požiadavkami, psychosociálnym alebo mentálnym postihnutím a/alebo nepočujúci) počas hospitalizácie, ordinačných hodín a lekárskych konzultácií. Poskytovanie zdravotných sestier, fyzioterapeutov, psychiatrov alebo psychológov v nemocniciach aj domácom prostredí je súčasťou zdravotnej starostlivosti, a preto by sa nemalo chápať ako plnenie povinnosti zmluvného štátu podľa článku 19, ale skôr podľa článku 25.</w:t>
      </w:r>
    </w:p>
    <w:p w14:paraId="19A3498A" w14:textId="4BC99F38" w:rsidR="00BC795F" w:rsidRPr="00EC43CE" w:rsidRDefault="00BC795F" w:rsidP="00A44550">
      <w:pPr>
        <w:pStyle w:val="SingleTxtG"/>
      </w:pPr>
      <w:r>
        <w:t>90.</w:t>
      </w:r>
      <w:r>
        <w:tab/>
        <w:t xml:space="preserve">Nezávislý život v komunite, ozdravovací proces a rehabilitácia (čl. 26) sú navzájom závislé. Niektoré osoby so zdravotným postihnutím sa nemôžu zúčastniť poskytovania rehabilitačných služieb bez dostatočnej individualizovanej podpory. Zároveň je účelom </w:t>
      </w:r>
      <w:r>
        <w:lastRenderedPageBreak/>
        <w:t>rehabilitácie umožniť osobám so zdravotným postihnutím plnohodnotné a účinné zapojenie do spoločnosti. Ozdravovací proces a rehabilitácia osoby so zdravotným postihnutím sa musia uskutočňovať vždy len na základe jej slobodného a informovaného súhlasu. Ozdravovací proces a rehabilitácia sú predovšetkým dôležité v súvislosti so vzdelávaním, zamestnávaním, zdravotnými a sociálnymi záležitosťami.</w:t>
      </w:r>
    </w:p>
    <w:p w14:paraId="28490269" w14:textId="77777777" w:rsidR="00BC795F" w:rsidRPr="00EC43CE" w:rsidRDefault="00BC795F" w:rsidP="00A44550">
      <w:pPr>
        <w:pStyle w:val="SingleTxtG"/>
      </w:pPr>
      <w:r>
        <w:t>91.</w:t>
      </w:r>
      <w:r>
        <w:tab/>
        <w:t>Existencia individualizovaných podporných služieb, vrátane osobnej asistencie je často nevyhnutným predpokladom účinného uplatňovania práva na prácu a zamestnanie (čl. 27). Navyše by sa osoby so zdravotným postihnutím mali stať zamestnávateľmi, manažérmi alebo školiteľmi v oblasti poskytovania podporných služieb špecifických pre osoby so zdravotným postihnutím. Vykonávanie článku 19 tak umožní postupne odstrániť chránené zamestnávanie.</w:t>
      </w:r>
    </w:p>
    <w:p w14:paraId="13EE305E" w14:textId="10EDF8CB" w:rsidR="00BC795F" w:rsidRPr="00EC43CE" w:rsidRDefault="00BC795F" w:rsidP="00A44550">
      <w:pPr>
        <w:pStyle w:val="SingleTxtG"/>
      </w:pPr>
      <w:r>
        <w:t>92.</w:t>
      </w:r>
      <w:r>
        <w:tab/>
        <w:t>Na zaistenie primeranej životnej úrovne osôb so zdravotným postihnutím (čl. 28) by im mali zmluvné štáty (okrem iného) zabezpečiť prístup k podporným službám, ktoré im umožnia viesť nezávislý spôsob života. Z tohto dôvodu sú zmluvné štáty povinné zaistiť prístup k primeraným a cenovo dostupným službám, pomôckam a iným formám asistencie na základe požiadaviek súvisiacich so zdravotným postihnutím, a to najmä osobám so zdravotným postihnutím žijúcim v chudobe. Okrem toho je potrebné sprístupniť týmto osobám verejné a dotované programy bývania v danej spoločnosti. Úhrada nákladov spojených so zdravotným postihnutím osobami so zdravotným postihnutím je v rozpore s dohovorom.</w:t>
      </w:r>
    </w:p>
    <w:p w14:paraId="33C23ECC" w14:textId="77777777" w:rsidR="00BC795F" w:rsidRPr="00EC43CE" w:rsidRDefault="00BC795F" w:rsidP="00A44550">
      <w:pPr>
        <w:pStyle w:val="SingleTxtG"/>
      </w:pPr>
      <w:r>
        <w:t>93.</w:t>
      </w:r>
      <w:r>
        <w:tab/>
        <w:t>Všetky osoby so zdravotným postihnutím potrebujú využívať a uplatňovať svoje práva na účasť v politickom a verejnom živote (čl. 29), aby mohli osobne alebo prostredníctvom zastupiteľských organizácií ovplyvňovať rozhodnutia s dopadom na rozvoj ich komunity a zapájať sa do takéhoto rozhodovacieho procesu. Vhodná podpora môže osobám so zdravotným postihnutím významne napomôcť pri uplatňovaní ich práva voliť, zúčastňovať sa politického života a spravovať verejné záležitosti. Zmluvné štáty musia zabezpečiť aj to, aby asistenti alebo iní podporní zamestnanci neobmedzovali ani nezneužívali možnosti osôb so zdravotným postihnutím pri výkone ich hlasovacích práv.</w:t>
      </w:r>
    </w:p>
    <w:p w14:paraId="3DEFD7E0" w14:textId="146E483C" w:rsidR="00BC795F" w:rsidRPr="00EC43CE" w:rsidRDefault="00BC795F" w:rsidP="00A44550">
      <w:pPr>
        <w:pStyle w:val="SingleTxtG"/>
      </w:pPr>
      <w:r>
        <w:t>94.</w:t>
      </w:r>
      <w:r>
        <w:tab/>
        <w:t>Kultúrny život, rekreácia, voľný čas a šport (čl. 30) sú dôležitými aspektmi života v spoločnosti, do ktorej možno osoby so zdravotným postihnutím začleniť, napríklad tým, že sa im sprístupnia inkluzívne podujatia, aktivity a zariadenia tohto typu. Osobní asistenti, sprevádzajúce osoby, predčítači a profesionálni tlmočníci posunkovej a taktilnej reči (okrem iného) prispievajú k inkluzívnemu životu v komunite v súlade s vôľou a preferenciami osôb so zdravotným postihnutím. Dôležité je, aby sa využívanie podpory akéhokoľvek druhu považovalo za súčasť výdavkov spojených so zdravotným postihnutím, pretože takéto podporné služby napomáhajú začleňovaniu do spoločnosti a prispievajú k nezávislému spôsobu života. Asistenti, ktorí sú potrební na zaistenie účasti osôb so zdravotným postihnutím na kultúrnych a voľnočasových podujatiach, by nemali platiť vstupné. Takisto by nemali existovať žiadne obmedzenia, kedy, kde a pri akých druhoch podujatí možno asistenciu využívať, a to na národnej i medzinárodnej úrovni.</w:t>
      </w:r>
    </w:p>
    <w:p w14:paraId="353975F5" w14:textId="65D5DA05" w:rsidR="00BC795F" w:rsidRPr="00EC43CE" w:rsidRDefault="00BC795F" w:rsidP="00A44550">
      <w:pPr>
        <w:pStyle w:val="SingleTxtG"/>
      </w:pPr>
      <w:r>
        <w:t>95.</w:t>
      </w:r>
      <w:r>
        <w:tab/>
        <w:t>Údaje a informácie musia byť systematicky rozčlenené (čl. 31) podľa zdravotného postihnutia vo všetkých odvetviach, a to aj pokiaľ ide o bývanie, životné podmienky, systémy sociálnej ochrany a prístup k nezávislému spôsobu životu, podpore a službám. Tieto informácie by mali umožňovať pravidelné analýzy toho, ako deinštitucionalizácia a prechod k podporným službám v danej spoločnosti pokročili. Dôležité je, aby ukazovatele odrážali osobité okolnosti v každom zmluvnom štáte.</w:t>
      </w:r>
    </w:p>
    <w:p w14:paraId="786EF9B7" w14:textId="5819E2CF" w:rsidR="00BC795F" w:rsidRPr="00EC43CE" w:rsidRDefault="00BC795F" w:rsidP="00A44550">
      <w:pPr>
        <w:pStyle w:val="SingleTxtG"/>
      </w:pPr>
      <w:r>
        <w:t>96.</w:t>
      </w:r>
      <w:r>
        <w:tab/>
        <w:t>Medzinárodná spolupráca (čl. 32) musí prebiehať v súlade s článkom 19, a to spôsobom umožňujúcim investovanie zahraničnej finančnej pomoci do podporných služieb v miestnych komunitách, ktoré rešpektujú vôľu a preferencie osôb so zdravotným postihnutím a presadzujú ich právo zvoliť si, kde, s kým a za akých životných podmienok budú žiť. Investovanie peňazí získaných v rámci medzinárodnej spolupráce do rozvoja nových ústavných zariadení, miest obmedzujúcich slobodu alebo iných foriem ústavnej starostlivosti je neprijateľné, pretože vedie k segregácii a izolácii osôb so zdravotným postihnutím.</w:t>
      </w:r>
    </w:p>
    <w:p w14:paraId="546EC6C8" w14:textId="77777777" w:rsidR="00BC795F" w:rsidRPr="00EC43CE" w:rsidRDefault="00BC795F" w:rsidP="001651F5">
      <w:pPr>
        <w:pStyle w:val="HChG"/>
      </w:pPr>
      <w:r>
        <w:lastRenderedPageBreak/>
        <w:tab/>
        <w:t>V.</w:t>
      </w:r>
      <w:r>
        <w:tab/>
        <w:t>Uplatňovanie práva na národnej úrovni</w:t>
      </w:r>
    </w:p>
    <w:p w14:paraId="38CCD6AD" w14:textId="77777777" w:rsidR="00BC795F" w:rsidRPr="00EC43CE" w:rsidRDefault="00BC795F" w:rsidP="00A44550">
      <w:pPr>
        <w:pStyle w:val="SingleTxtG"/>
      </w:pPr>
      <w:r>
        <w:t>97.</w:t>
      </w:r>
      <w:r>
        <w:tab/>
        <w:t>Výbor si uvedomuje, že zmluvné štáty môžu čeliť výzvam na národnej úrovni pri uplatňovaní práva na nezávislý spôsob života a začlenenie do spoločnosti. Avšak v súlade s vyššie uvedeným normatívnym obsahom a povinnosťami by zmluvné štáty mali urobiť nasledovné kroky, aby zaistili uplatnenie článku 19 dohovoru v plnom rozsahu:</w:t>
      </w:r>
    </w:p>
    <w:p w14:paraId="25547388" w14:textId="77777777" w:rsidR="00BC795F" w:rsidRPr="00EC43CE" w:rsidRDefault="001651F5" w:rsidP="00A44550">
      <w:pPr>
        <w:pStyle w:val="SingleTxtG"/>
      </w:pPr>
      <w:r>
        <w:tab/>
        <w:t>a)</w:t>
      </w:r>
      <w:r>
        <w:tab/>
        <w:t>zrušiť všetky zákony, ktoré bránia akejkoľvek zdravotne postihnutej osobe (bez ohľadu na druh jej zdravotného postihnutia) zvoliť si, kde, s kým a ako chce žiť, vrátane práva nebyť umiestnený v ústavnej starostlivosti z dôvodu akéhokoľvek zdravotného postihnutia;</w:t>
      </w:r>
    </w:p>
    <w:p w14:paraId="33E0E33A" w14:textId="77777777" w:rsidR="00BC795F" w:rsidRPr="00EC43CE" w:rsidRDefault="001651F5" w:rsidP="00A44550">
      <w:pPr>
        <w:pStyle w:val="SingleTxtG"/>
      </w:pPr>
      <w:r>
        <w:tab/>
        <w:t>b)</w:t>
      </w:r>
      <w:r>
        <w:tab/>
        <w:t>prijať a presadzovať zákony, normy a iné opatrenia s cieľom sprístupniť miestne komunity a prostredie, ako aj informácie a komunikáciu všetkým osobám so zdravotným postihnutím;</w:t>
      </w:r>
    </w:p>
    <w:p w14:paraId="5579F219" w14:textId="77777777" w:rsidR="00BC795F" w:rsidRPr="00EC43CE" w:rsidRDefault="001651F5" w:rsidP="001651F5">
      <w:pPr>
        <w:pStyle w:val="SingleTxtG"/>
      </w:pPr>
      <w:r>
        <w:tab/>
        <w:t>c)</w:t>
      </w:r>
      <w:r>
        <w:tab/>
        <w:t>zabezpečiť, aby programy sociálnej ochrany spĺňali požiadavky rôznych skupín osôb so zdravotným postihnutím rovnako ako u ostatných;</w:t>
      </w:r>
    </w:p>
    <w:p w14:paraId="4249949B" w14:textId="77777777" w:rsidR="00BC795F" w:rsidRPr="00EC43CE" w:rsidRDefault="001651F5" w:rsidP="00A44550">
      <w:pPr>
        <w:pStyle w:val="SingleTxtG"/>
      </w:pPr>
      <w:r>
        <w:tab/>
        <w:t>d)</w:t>
      </w:r>
      <w:r>
        <w:tab/>
        <w:t>začleniť zásadu univerzálneho dizajnu fyzického aj virtuálneho priestoru do politík, právnych predpisov, noriem a iných opatrení, vrátane monitorovania vykonávania/plnenia povinností; preskúmať stavebné predpisy a zabezpečiť, aby boli v súlade so zásadami univerzálneho dizajnu a legislatívnymi usmerneniami v oblasti stavebníctva uvedenými vo Všeobecnom komentári č. 2 Výboru;</w:t>
      </w:r>
    </w:p>
    <w:p w14:paraId="1BD6CAE3" w14:textId="77777777" w:rsidR="00BC795F" w:rsidRPr="00EC43CE" w:rsidRDefault="001651F5" w:rsidP="00A44550">
      <w:pPr>
        <w:pStyle w:val="SingleTxtG"/>
      </w:pPr>
      <w:r>
        <w:tab/>
        <w:t>e)</w:t>
      </w:r>
      <w:r>
        <w:tab/>
        <w:t>udeliť všetkým osobám so zdravotným postihnutím hmotné a procesné práva, aby mohli viesť nezávislý spôsob života v spoločnosti;</w:t>
      </w:r>
    </w:p>
    <w:p w14:paraId="1A32325F" w14:textId="77777777" w:rsidR="00BC795F" w:rsidRPr="00EC43CE" w:rsidRDefault="001651F5" w:rsidP="00A44550">
      <w:pPr>
        <w:pStyle w:val="SingleTxtG"/>
      </w:pPr>
      <w:r>
        <w:tab/>
        <w:t>f)</w:t>
      </w:r>
      <w:r>
        <w:tab/>
        <w:t>informovať osoby so zdravotným postihnutím o ich práve na nezávislý spôsob života a začlenenie do spoločnosti zrozumiteľným spôsobom a zabezpečiť stimulačné školenia na povzbudenie osôb so zdravotným postihnutím, aby sa naučili presadzovať svoje práva;</w:t>
      </w:r>
    </w:p>
    <w:p w14:paraId="12C31A11" w14:textId="741EF5BD" w:rsidR="00BC795F" w:rsidRPr="00EC43CE" w:rsidRDefault="001651F5" w:rsidP="00A44550">
      <w:pPr>
        <w:pStyle w:val="SingleTxtG"/>
      </w:pPr>
      <w:r>
        <w:tab/>
        <w:t>g)</w:t>
      </w:r>
      <w:r>
        <w:tab/>
        <w:t>prijať jasné a cielené stratégie deinštitucionalizácie s konkrétnymi časovými rámcami a primeranými rozpočtami s cieľom odstrániť všetky formy izolácie, segregácie a inštitucionalizácie osôb so zdravotným postihnutím; osobitná pozornosť by sa mala venovať osobám s psychosociálnym a/alebo mentálnym postihnutím a deťom so zdravotným postihnutím, ktoré sú v súčasnosti umiestnené v ústavných zariadeniach;</w:t>
      </w:r>
    </w:p>
    <w:p w14:paraId="61CBB073" w14:textId="77777777" w:rsidR="00BC795F" w:rsidRPr="00EC43CE" w:rsidRDefault="001651F5" w:rsidP="00A44550">
      <w:pPr>
        <w:pStyle w:val="SingleTxtG"/>
      </w:pPr>
      <w:r>
        <w:tab/>
        <w:t>h)</w:t>
      </w:r>
      <w:r>
        <w:tab/>
        <w:t>vypracovať programy na zvyšovanie povedomia, ktoré riešia negatívne postoje a stereotypy o osobách so zdravotným postihnutím a zabezpečiť transformáciu spoločnosti v snahe vytvárať individualizované a dostupné bežné služby;</w:t>
      </w:r>
    </w:p>
    <w:p w14:paraId="5E3D2768" w14:textId="77777777" w:rsidR="00BC795F" w:rsidRPr="00EC43CE" w:rsidRDefault="001651F5" w:rsidP="00A44550">
      <w:pPr>
        <w:pStyle w:val="SingleTxtG"/>
      </w:pPr>
      <w:r>
        <w:tab/>
        <w:t>i)</w:t>
      </w:r>
      <w:r>
        <w:tab/>
        <w:t>zabezpečiť osobnú aj sprostredkovanú účasť osôb so zdravotným postihnutím (pomocou zastupiteľských organizácií) pri transformácii podporných služieb a komunít a navrhovaní a realizácii stratégií deinštitucionalizácie;</w:t>
      </w:r>
    </w:p>
    <w:p w14:paraId="6B1DB5BE" w14:textId="62C64BFE" w:rsidR="00BC795F" w:rsidRPr="00EC43CE" w:rsidRDefault="001651F5" w:rsidP="00A44550">
      <w:pPr>
        <w:pStyle w:val="SingleTxtG"/>
      </w:pPr>
      <w:r>
        <w:tab/>
        <w:t>j)</w:t>
      </w:r>
      <w:r>
        <w:tab/>
        <w:t>vypracovať komplexné politiky a legislatívne usmernenia a prideliť finančné prostriedky na vybudovanie cenovo prijateľných a prístupných bytových jednotiek, zastavaných oblastí, verejných priestranstiev a dopravnej infraštruktúry spolu s primeraným časovým rámcom na realizáciu takej výstavby a sankciami, ktoré sú účinné, odstrašujúce a primerané za akékoľvek porušenie zo strany verejných alebo súkromných orgánov;</w:t>
      </w:r>
    </w:p>
    <w:p w14:paraId="6DD2289D" w14:textId="6C5E44AF" w:rsidR="00BC795F" w:rsidRPr="00EC43CE" w:rsidRDefault="001651F5" w:rsidP="00A44550">
      <w:pPr>
        <w:pStyle w:val="SingleTxtG"/>
      </w:pPr>
      <w:r>
        <w:tab/>
        <w:t>k)</w:t>
      </w:r>
      <w:r>
        <w:tab/>
        <w:t>prideľovať zdroje na rozvoj vhodných a dostatočných podporných služieb riadených a spravovaných osobou/používateľom pre všetky osoby so zdravotným postihnutím, ako sú napríklad osobní asistenti, sprevádzajúce osoby, predčítači a profesionálni tlmočníci posunkovej alebo inej reči;</w:t>
      </w:r>
    </w:p>
    <w:p w14:paraId="326D1323" w14:textId="77777777" w:rsidR="00BC795F" w:rsidRPr="00EC43CE" w:rsidRDefault="001651F5" w:rsidP="00A718BC">
      <w:pPr>
        <w:pStyle w:val="SingleTxtG"/>
      </w:pPr>
      <w:r>
        <w:tab/>
        <w:t>l)</w:t>
      </w:r>
      <w:r>
        <w:tab/>
        <w:t>navrhnúť procesy verejnej súťaže na poskytovanie podporných služieb osobám so zdravotným postihnutím žijúcim nezávisle v spoločnosti, ktoré zohľadňujú normatívny obsah článku 19;</w:t>
      </w:r>
    </w:p>
    <w:p w14:paraId="1D83E22F" w14:textId="777DDF9D" w:rsidR="00BC795F" w:rsidRPr="00EC43CE" w:rsidRDefault="001651F5" w:rsidP="00A44550">
      <w:pPr>
        <w:pStyle w:val="SingleTxtG"/>
      </w:pPr>
      <w:r>
        <w:tab/>
        <w:t>m)</w:t>
      </w:r>
      <w:r>
        <w:tab/>
        <w:t>zaviesť mechanizmy na monitorovanie existujúcich ústavných zariadení a pobytových služieb, stratégií deinštitucionalizácie a uplatňovania práva na nezávislý spôsob života v spoločnosti pri zohľadnení úlohy nezávislých monitorovacích rámcov;</w:t>
      </w:r>
    </w:p>
    <w:p w14:paraId="6788EEF4" w14:textId="77777777" w:rsidR="00BC795F" w:rsidRDefault="001651F5" w:rsidP="00A44550">
      <w:pPr>
        <w:pStyle w:val="SingleTxtG"/>
      </w:pPr>
      <w:r>
        <w:lastRenderedPageBreak/>
        <w:tab/>
        <w:t>n)</w:t>
      </w:r>
      <w:r>
        <w:tab/>
        <w:t>vykonávať monitorovanie a implementáciu podľa článku 19 a náležite konzultovať tieto procesy s osobami so zdravotným postihnutím za ich plnej účasti prostredníctvom zastupiteľských organizácií.</w:t>
      </w:r>
    </w:p>
    <w:p w14:paraId="0B43E43B" w14:textId="77777777" w:rsidR="001651F5" w:rsidRPr="00106A43" w:rsidRDefault="001651F5">
      <w:pPr>
        <w:spacing w:before="240"/>
        <w:jc w:val="center"/>
        <w:rPr>
          <w:u w:val="single"/>
        </w:rPr>
      </w:pPr>
      <w:r>
        <w:rPr>
          <w:u w:val="single"/>
        </w:rPr>
        <w:tab/>
      </w:r>
      <w:r>
        <w:rPr>
          <w:u w:val="single"/>
        </w:rPr>
        <w:tab/>
      </w:r>
      <w:r>
        <w:rPr>
          <w:u w:val="single"/>
        </w:rPr>
        <w:tab/>
      </w:r>
    </w:p>
    <w:sectPr w:rsidR="001651F5" w:rsidRPr="00106A43" w:rsidSect="001E0D81">
      <w:headerReference w:type="even" r:id="rId10"/>
      <w:headerReference w:type="default" r:id="rId11"/>
      <w:footerReference w:type="even" r:id="rId12"/>
      <w:footerReference w:type="default" r:id="rId13"/>
      <w:footerReference w:type="first" r:id="rId14"/>
      <w:endnotePr>
        <w:numFmt w:val="decimal"/>
      </w:endnotePr>
      <w:type w:val="continuous"/>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45C6DE" w14:textId="77777777" w:rsidR="000F209F" w:rsidRPr="00317DC1" w:rsidRDefault="000F209F" w:rsidP="00317DC1">
      <w:pPr>
        <w:pStyle w:val="Pta"/>
      </w:pPr>
    </w:p>
  </w:endnote>
  <w:endnote w:type="continuationSeparator" w:id="0">
    <w:p w14:paraId="3E7E2439" w14:textId="77777777" w:rsidR="000F209F" w:rsidRPr="00317DC1" w:rsidRDefault="000F209F" w:rsidP="00317DC1">
      <w:pPr>
        <w:pStyle w:val="Pta"/>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39T30Lfz">
    <w:altName w:val="Symbol"/>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1A770" w14:textId="6E6627D8" w:rsidR="00550912" w:rsidRPr="001E0D81" w:rsidRDefault="00550912" w:rsidP="00AE332E">
    <w:pPr>
      <w:pStyle w:val="Pta"/>
      <w:tabs>
        <w:tab w:val="right" w:pos="9598"/>
      </w:tabs>
    </w:pPr>
    <w:r w:rsidRPr="001E0D81">
      <w:rPr>
        <w:b/>
        <w:sz w:val="18"/>
      </w:rPr>
      <w:fldChar w:fldCharType="begin"/>
    </w:r>
    <w:r w:rsidRPr="001E0D81">
      <w:rPr>
        <w:b/>
        <w:sz w:val="18"/>
      </w:rPr>
      <w:instrText xml:space="preserve"> PAGE  \* MERGEFORMAT </w:instrText>
    </w:r>
    <w:r w:rsidRPr="001E0D81">
      <w:rPr>
        <w:b/>
        <w:sz w:val="18"/>
      </w:rPr>
      <w:fldChar w:fldCharType="separate"/>
    </w:r>
    <w:r w:rsidR="0035641C">
      <w:rPr>
        <w:b/>
        <w:noProof/>
        <w:sz w:val="18"/>
      </w:rPr>
      <w:t>4</w:t>
    </w:r>
    <w:r w:rsidRPr="001E0D81">
      <w:rPr>
        <w:b/>
        <w:sz w:val="18"/>
      </w:rPr>
      <w:fldChar w:fldCharType="end"/>
    </w:r>
    <w:r>
      <w:rPr>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1B91BA" w14:textId="4395D0BD" w:rsidR="00550912" w:rsidRPr="001E0D81" w:rsidRDefault="00550912" w:rsidP="001E0D81">
    <w:pPr>
      <w:pStyle w:val="Pta"/>
      <w:tabs>
        <w:tab w:val="right" w:pos="9598"/>
      </w:tabs>
      <w:rPr>
        <w:b/>
        <w:sz w:val="18"/>
      </w:rPr>
    </w:pPr>
    <w:r>
      <w:tab/>
    </w:r>
    <w:r w:rsidRPr="001E0D81">
      <w:rPr>
        <w:b/>
        <w:sz w:val="18"/>
      </w:rPr>
      <w:fldChar w:fldCharType="begin"/>
    </w:r>
    <w:r w:rsidRPr="001E0D81">
      <w:rPr>
        <w:b/>
        <w:sz w:val="18"/>
      </w:rPr>
      <w:instrText xml:space="preserve"> PAGE  \* MERGEFORMAT </w:instrText>
    </w:r>
    <w:r w:rsidRPr="001E0D81">
      <w:rPr>
        <w:b/>
        <w:sz w:val="18"/>
      </w:rPr>
      <w:fldChar w:fldCharType="separate"/>
    </w:r>
    <w:r w:rsidR="0035641C">
      <w:rPr>
        <w:b/>
        <w:noProof/>
        <w:sz w:val="18"/>
      </w:rPr>
      <w:t>5</w:t>
    </w:r>
    <w:r w:rsidRPr="001E0D81">
      <w:rPr>
        <w:b/>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F028C0" w14:textId="77777777" w:rsidR="00550912" w:rsidRDefault="00550912" w:rsidP="00554F1D">
    <w:pPr>
      <w:pStyle w:val="Pta"/>
    </w:pPr>
    <w:r>
      <w:rPr>
        <w:noProof/>
        <w:lang w:eastAsia="sk-SK"/>
      </w:rPr>
      <w:drawing>
        <wp:anchor distT="0" distB="0" distL="114300" distR="114300" simplePos="0" relativeHeight="251659264" behindDoc="1" locked="1" layoutInCell="1" allowOverlap="1" wp14:anchorId="08B7AB73" wp14:editId="0938FED2">
          <wp:simplePos x="0" y="0"/>
          <wp:positionH relativeFrom="margin">
            <wp:posOffset>4320540</wp:posOffset>
          </wp:positionH>
          <wp:positionV relativeFrom="margin">
            <wp:posOffset>9145270</wp:posOffset>
          </wp:positionV>
          <wp:extent cx="932400" cy="23040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7B581D65" w14:textId="77777777" w:rsidR="00550912" w:rsidRDefault="00550912" w:rsidP="00554F1D">
    <w:pPr>
      <w:pStyle w:val="Pta"/>
      <w:ind w:right="1134"/>
      <w:rPr>
        <w:sz w:val="20"/>
      </w:rPr>
    </w:pPr>
    <w:r>
      <w:rPr>
        <w:sz w:val="20"/>
      </w:rPr>
      <w:t>GE.17-19008(E)</w:t>
    </w:r>
  </w:p>
  <w:p w14:paraId="7E6CAF1D" w14:textId="77777777" w:rsidR="00550912" w:rsidRPr="00554F1D" w:rsidRDefault="00550912" w:rsidP="00554F1D">
    <w:pPr>
      <w:pStyle w:val="Pta"/>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noProof/>
        <w:lang w:eastAsia="sk-SK"/>
      </w:rPr>
      <w:drawing>
        <wp:anchor distT="0" distB="0" distL="114300" distR="114300" simplePos="0" relativeHeight="251660288" behindDoc="0" locked="0" layoutInCell="1" allowOverlap="1" wp14:anchorId="6A947FED" wp14:editId="5DFC856E">
          <wp:simplePos x="0" y="0"/>
          <wp:positionH relativeFrom="margin">
            <wp:posOffset>5478780</wp:posOffset>
          </wp:positionH>
          <wp:positionV relativeFrom="margin">
            <wp:posOffset>8794750</wp:posOffset>
          </wp:positionV>
          <wp:extent cx="638175" cy="638175"/>
          <wp:effectExtent l="0" t="0" r="9525" b="9525"/>
          <wp:wrapNone/>
          <wp:docPr id="2" name="Picture 1" descr="https://undocs.org/m2/QRCode.ashx?DS=CRPD/C/GC/5&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CRPD/C/GC/5&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ACA6C3" w14:textId="77777777" w:rsidR="000F209F" w:rsidRPr="00317DC1" w:rsidRDefault="000F209F" w:rsidP="00317DC1">
      <w:pPr>
        <w:tabs>
          <w:tab w:val="right" w:pos="2155"/>
        </w:tabs>
        <w:spacing w:after="80" w:line="240" w:lineRule="auto"/>
        <w:ind w:left="680"/>
      </w:pPr>
      <w:r>
        <w:rPr>
          <w:u w:val="single"/>
        </w:rPr>
        <w:tab/>
      </w:r>
    </w:p>
  </w:footnote>
  <w:footnote w:type="continuationSeparator" w:id="0">
    <w:p w14:paraId="65E1B445" w14:textId="77777777" w:rsidR="000F209F" w:rsidRPr="00317DC1" w:rsidRDefault="000F209F" w:rsidP="00317DC1">
      <w:pPr>
        <w:tabs>
          <w:tab w:val="right" w:pos="2155"/>
        </w:tabs>
        <w:spacing w:after="80" w:line="240" w:lineRule="auto"/>
        <w:ind w:left="680"/>
      </w:pPr>
      <w:r>
        <w:rPr>
          <w:u w:val="single"/>
        </w:rPr>
        <w:tab/>
      </w:r>
    </w:p>
  </w:footnote>
  <w:footnote w:id="1">
    <w:p w14:paraId="3B97C11A" w14:textId="32F8758F" w:rsidR="00550912" w:rsidRPr="001623F5" w:rsidRDefault="00550912" w:rsidP="00661D1E">
      <w:pPr>
        <w:pStyle w:val="Textpoznmkypodiarou"/>
      </w:pPr>
      <w:r>
        <w:tab/>
      </w:r>
      <w:r>
        <w:rPr>
          <w:rStyle w:val="Odkaznapoznmkupodiarou"/>
        </w:rPr>
        <w:footnoteRef/>
      </w:r>
      <w:r>
        <w:t xml:space="preserve"> </w:t>
      </w:r>
      <w:r>
        <w:tab/>
        <w:t>Pozri ods. 1-2 Všeobecného komentára č. 3 (1990) k povahe záväzkov zmluvných štátov Výboru pre hospodárske, sociálne a kultúrne práva.</w:t>
      </w:r>
    </w:p>
  </w:footnote>
  <w:footnote w:id="2">
    <w:p w14:paraId="47D7CAC0" w14:textId="77777777" w:rsidR="00550912" w:rsidRPr="001623F5" w:rsidRDefault="00550912" w:rsidP="00BC795F">
      <w:pPr>
        <w:pStyle w:val="Textpoznmkypodiarou"/>
      </w:pPr>
      <w:r>
        <w:tab/>
      </w:r>
      <w:r>
        <w:rPr>
          <w:rStyle w:val="Odkaznapoznmkupodiarou"/>
        </w:rPr>
        <w:footnoteRef/>
      </w:r>
      <w:r>
        <w:rPr>
          <w:vertAlign w:val="superscript"/>
        </w:rPr>
        <w:t xml:space="preserve"> </w:t>
      </w:r>
      <w:r>
        <w:rPr>
          <w:vertAlign w:val="superscript"/>
        </w:rPr>
        <w:tab/>
      </w:r>
      <w:r>
        <w:t>Pozri čl. 22 Všeobecnej deklarácie ľudských práv, ods. 1 Všeobecného komentára č. 27 (1997) k slobode pohybu Výboru pre ľudské práva, ods. 7 Všeobecného komentára č. 4 (1991) k primeranému bývaniu Výboru pre hospodárske, sociálne a kultúrne práva.</w:t>
      </w:r>
    </w:p>
  </w:footnote>
  <w:footnote w:id="3">
    <w:p w14:paraId="3C8A0C74" w14:textId="77777777" w:rsidR="00550912" w:rsidRPr="001623F5" w:rsidRDefault="00550912" w:rsidP="000737E2">
      <w:pPr>
        <w:pStyle w:val="Textpoznmkypodiarou"/>
      </w:pPr>
      <w:r>
        <w:tab/>
      </w:r>
      <w:r>
        <w:rPr>
          <w:rStyle w:val="Odkaznapoznmkupodiarou"/>
        </w:rPr>
        <w:footnoteRef/>
      </w:r>
      <w:r>
        <w:rPr>
          <w:vertAlign w:val="superscript"/>
        </w:rPr>
        <w:t xml:space="preserve"> </w:t>
      </w:r>
      <w:r>
        <w:tab/>
        <w:t>Pozri ods. 47 Všeobecného komentára č. 9 (2006) k právam detí so zdravotným postihnutím Výboru pre práva dieťaťa.</w:t>
      </w:r>
    </w:p>
  </w:footnote>
  <w:footnote w:id="4">
    <w:p w14:paraId="170C9CC7" w14:textId="77777777" w:rsidR="00550912" w:rsidRPr="001623F5" w:rsidRDefault="00550912" w:rsidP="00EA3905">
      <w:pPr>
        <w:pStyle w:val="Textpoznmkypodiarou"/>
      </w:pPr>
      <w:r>
        <w:tab/>
      </w:r>
      <w:r>
        <w:rPr>
          <w:rStyle w:val="Odkaznapoznmkupodiarou"/>
        </w:rPr>
        <w:footnoteRef/>
      </w:r>
      <w:r>
        <w:t xml:space="preserve"> </w:t>
      </w:r>
      <w:r>
        <w:tab/>
        <w:t>Usmernenia o práve na slobodu a bezpečnosť osôb so zdravotným postihnutím (A/72/55, príloha).</w:t>
      </w:r>
    </w:p>
  </w:footnote>
  <w:footnote w:id="5">
    <w:p w14:paraId="59E74194" w14:textId="77777777" w:rsidR="00550912" w:rsidRPr="001623F5" w:rsidRDefault="00550912" w:rsidP="00BC795F">
      <w:pPr>
        <w:pStyle w:val="Textpoznmkypodiarou"/>
      </w:pPr>
      <w:r>
        <w:tab/>
      </w:r>
      <w:r>
        <w:rPr>
          <w:rStyle w:val="Odkaznapoznmkupodiarou"/>
        </w:rPr>
        <w:footnoteRef/>
      </w:r>
      <w:r>
        <w:tab/>
        <w:t>Pozri článok 2 ods. 1 Medzinárodného paktu o hospodárskych, sociálnych a kultúrnych právach a článok 4 ods. 2 Dohovoru o právach osôb so zdravotným postihnutím.</w:t>
      </w:r>
    </w:p>
  </w:footnote>
  <w:footnote w:id="6">
    <w:p w14:paraId="17CBA8F4" w14:textId="77777777" w:rsidR="00550912" w:rsidRPr="001623F5" w:rsidRDefault="00550912" w:rsidP="00BC795F">
      <w:pPr>
        <w:pStyle w:val="Textpoznmkypodiarou"/>
      </w:pPr>
      <w:r>
        <w:tab/>
      </w:r>
      <w:r>
        <w:rPr>
          <w:rStyle w:val="Odkaznapoznmkupodiarou"/>
        </w:rPr>
        <w:footnoteRef/>
      </w:r>
      <w:r>
        <w:tab/>
        <w:t>Pozri ods. 2 Všeobecného komentára č. 3 Výboru pre hospodárske, sociálne a kultúrne práva.</w:t>
      </w:r>
    </w:p>
  </w:footnote>
  <w:footnote w:id="7">
    <w:p w14:paraId="7B1D587A" w14:textId="77777777" w:rsidR="00550912" w:rsidRPr="001623F5" w:rsidRDefault="00550912" w:rsidP="00BC795F">
      <w:pPr>
        <w:pStyle w:val="Textpoznmkypodiarou"/>
      </w:pPr>
      <w:r>
        <w:tab/>
      </w:r>
      <w:r>
        <w:rPr>
          <w:rStyle w:val="Odkaznapoznmkupodiarou"/>
        </w:rPr>
        <w:footnoteRef/>
      </w:r>
      <w:r>
        <w:tab/>
        <w:t>List zo dňa 16. mája 2012 adresovaný predsedom Výboru pre hospodárske, sociálne a kultúrne práva štátom, ktoré sú zmluvnými stranami Medzinárodného paktu o hospodárskych, sociálnych a kultúrnych právach, dostupný na http://tbinternet.ohchr.org/_layouts/treatybodyexternal/Download.aspx? symbolno=INT%2fCESCR%2fSUS%2f6395&amp;Lang=en.</w:t>
      </w:r>
    </w:p>
  </w:footnote>
  <w:footnote w:id="8">
    <w:p w14:paraId="2FD8373C" w14:textId="77777777" w:rsidR="00550912" w:rsidRPr="001623F5" w:rsidRDefault="00550912" w:rsidP="00BC795F">
      <w:pPr>
        <w:pStyle w:val="Textpoznmkypodiarou"/>
      </w:pPr>
      <w:r>
        <w:tab/>
      </w:r>
      <w:r>
        <w:rPr>
          <w:rStyle w:val="Odkaznapoznmkupodiarou"/>
        </w:rPr>
        <w:footnoteRef/>
      </w:r>
      <w:r>
        <w:tab/>
        <w:t xml:space="preserve">Pozri Všeobecný komentár č. 3 (2016) o ženách a dievčatách so zdravotným postihnutím Výboru pre práva osôb so zdravotným postihnutím. </w:t>
      </w:r>
    </w:p>
  </w:footnote>
  <w:footnote w:id="9">
    <w:p w14:paraId="14CBB677" w14:textId="77777777" w:rsidR="00550912" w:rsidRPr="001623F5" w:rsidRDefault="00550912" w:rsidP="00BC795F">
      <w:pPr>
        <w:pStyle w:val="Textpoznmkypodiarou"/>
      </w:pPr>
      <w:r>
        <w:tab/>
      </w:r>
      <w:r>
        <w:rPr>
          <w:rStyle w:val="Odkaznapoznmkupodiarou"/>
        </w:rPr>
        <w:footnoteRef/>
      </w:r>
      <w:r>
        <w:tab/>
        <w:t xml:space="preserve">Ibidem, ods. 8, 18, 29 a 55. </w:t>
      </w:r>
    </w:p>
  </w:footnote>
  <w:footnote w:id="10">
    <w:p w14:paraId="6623B983" w14:textId="77777777" w:rsidR="00550912" w:rsidRPr="001623F5" w:rsidRDefault="00550912" w:rsidP="00B6422B">
      <w:pPr>
        <w:pStyle w:val="Textpoznmkypodiarou"/>
        <w:ind w:hanging="567"/>
      </w:pPr>
      <w:r>
        <w:tab/>
      </w:r>
      <w:r>
        <w:rPr>
          <w:rStyle w:val="Odkaznapoznmkupodiarou"/>
        </w:rPr>
        <w:footnoteRef/>
      </w:r>
      <w:r>
        <w:rPr>
          <w:vertAlign w:val="superscript"/>
        </w:rPr>
        <w:tab/>
      </w:r>
      <w:r>
        <w:t>Pozri Všeobecné odporúčanie č. 21 (1994) o rovnosti v manželstve a rodinných vzťahoch Výboru pre odstránenie diskriminácie žien.</w:t>
      </w:r>
    </w:p>
  </w:footnote>
  <w:footnote w:id="11">
    <w:p w14:paraId="0390BEF8" w14:textId="77777777" w:rsidR="00550912" w:rsidRPr="001623F5" w:rsidRDefault="00550912" w:rsidP="00BC795F">
      <w:pPr>
        <w:pStyle w:val="Textpoznmkypodiarou"/>
      </w:pPr>
      <w:r>
        <w:tab/>
      </w:r>
      <w:r>
        <w:rPr>
          <w:rStyle w:val="Odkaznapoznmkupodiarou"/>
        </w:rPr>
        <w:footnoteRef/>
      </w:r>
      <w:r>
        <w:tab/>
        <w:t>Pozri Všeobecný komentár č. 4 (2016) o práve na inkluzívne vzdelávanie Výboru pre práva osôb so zdravotným postihnutím.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4E894C" w14:textId="77777777" w:rsidR="00550912" w:rsidRPr="001E0D81" w:rsidRDefault="00550912" w:rsidP="001E0D81">
    <w:pPr>
      <w:pStyle w:val="Hlavika"/>
    </w:pPr>
    <w:r>
      <w:t>CRPD/C/GC/5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91852" w14:textId="77777777" w:rsidR="00550912" w:rsidRPr="001E0D81" w:rsidRDefault="00550912" w:rsidP="001E0D81">
    <w:pPr>
      <w:pStyle w:val="Hlavika"/>
      <w:jc w:val="right"/>
    </w:pPr>
    <w:r>
      <w:t>CRPD/C/GC/5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C49F8"/>
    <w:multiLevelType w:val="hybridMultilevel"/>
    <w:tmpl w:val="FFD08D26"/>
    <w:lvl w:ilvl="0" w:tplc="2FB47626">
      <w:start w:val="1"/>
      <w:numFmt w:val="decimal"/>
      <w:pStyle w:val="ParaNoG"/>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5DD657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1E253887"/>
    <w:multiLevelType w:val="hybridMultilevel"/>
    <w:tmpl w:val="497EC7CC"/>
    <w:lvl w:ilvl="0" w:tplc="FAE4B376">
      <w:start w:val="1"/>
      <w:numFmt w:val="bullet"/>
      <w:pStyle w:val="Bullet2G"/>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1A12325"/>
    <w:multiLevelType w:val="hybridMultilevel"/>
    <w:tmpl w:val="FF0E5B48"/>
    <w:lvl w:ilvl="0" w:tplc="6D5E22D8">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5E41230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78703ABA"/>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
  </w:num>
  <w:num w:numId="2">
    <w:abstractNumId w:val="2"/>
  </w:num>
  <w:num w:numId="3">
    <w:abstractNumId w:val="0"/>
  </w:num>
  <w:num w:numId="4">
    <w:abstractNumId w:val="4"/>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567"/>
  <w:hyphenationZone w:val="425"/>
  <w:evenAndOddHeaders/>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F34"/>
    <w:rsid w:val="000006A3"/>
    <w:rsid w:val="00011322"/>
    <w:rsid w:val="00024DB8"/>
    <w:rsid w:val="00043D77"/>
    <w:rsid w:val="00046E92"/>
    <w:rsid w:val="00047239"/>
    <w:rsid w:val="000737E2"/>
    <w:rsid w:val="00084083"/>
    <w:rsid w:val="00095CD3"/>
    <w:rsid w:val="000E08E6"/>
    <w:rsid w:val="000E29B0"/>
    <w:rsid w:val="000F209F"/>
    <w:rsid w:val="001157D3"/>
    <w:rsid w:val="00164124"/>
    <w:rsid w:val="001651F5"/>
    <w:rsid w:val="0019561B"/>
    <w:rsid w:val="001D03D3"/>
    <w:rsid w:val="001E0D81"/>
    <w:rsid w:val="00232C4F"/>
    <w:rsid w:val="00234919"/>
    <w:rsid w:val="002468BC"/>
    <w:rsid w:val="00247E2C"/>
    <w:rsid w:val="00270633"/>
    <w:rsid w:val="002B5AD4"/>
    <w:rsid w:val="002D5890"/>
    <w:rsid w:val="002D6C53"/>
    <w:rsid w:val="002F5595"/>
    <w:rsid w:val="00317DC1"/>
    <w:rsid w:val="00334F6A"/>
    <w:rsid w:val="00342AC8"/>
    <w:rsid w:val="0035641C"/>
    <w:rsid w:val="00374AAC"/>
    <w:rsid w:val="003A5750"/>
    <w:rsid w:val="003B4550"/>
    <w:rsid w:val="00402400"/>
    <w:rsid w:val="00455826"/>
    <w:rsid w:val="00461253"/>
    <w:rsid w:val="00474210"/>
    <w:rsid w:val="00484853"/>
    <w:rsid w:val="004A1DC4"/>
    <w:rsid w:val="004B7484"/>
    <w:rsid w:val="005042C2"/>
    <w:rsid w:val="00550912"/>
    <w:rsid w:val="00554F1D"/>
    <w:rsid w:val="0055774B"/>
    <w:rsid w:val="005D20E2"/>
    <w:rsid w:val="005E08DF"/>
    <w:rsid w:val="00622276"/>
    <w:rsid w:val="00623998"/>
    <w:rsid w:val="00661D1E"/>
    <w:rsid w:val="00671529"/>
    <w:rsid w:val="006B6980"/>
    <w:rsid w:val="006B7F90"/>
    <w:rsid w:val="006E4390"/>
    <w:rsid w:val="006E6CE4"/>
    <w:rsid w:val="006F070E"/>
    <w:rsid w:val="006F0BD3"/>
    <w:rsid w:val="007268F9"/>
    <w:rsid w:val="00736EB4"/>
    <w:rsid w:val="0077088F"/>
    <w:rsid w:val="00787EEE"/>
    <w:rsid w:val="007A0012"/>
    <w:rsid w:val="007C52B0"/>
    <w:rsid w:val="007D6DBF"/>
    <w:rsid w:val="007E45F3"/>
    <w:rsid w:val="007E6855"/>
    <w:rsid w:val="00813565"/>
    <w:rsid w:val="00820CCB"/>
    <w:rsid w:val="00831299"/>
    <w:rsid w:val="00853F0B"/>
    <w:rsid w:val="0089664F"/>
    <w:rsid w:val="00907368"/>
    <w:rsid w:val="00917661"/>
    <w:rsid w:val="009411B4"/>
    <w:rsid w:val="0097105D"/>
    <w:rsid w:val="009B4F27"/>
    <w:rsid w:val="009B7031"/>
    <w:rsid w:val="009C7535"/>
    <w:rsid w:val="009D0139"/>
    <w:rsid w:val="009F5CDC"/>
    <w:rsid w:val="00A05630"/>
    <w:rsid w:val="00A07C60"/>
    <w:rsid w:val="00A42FB6"/>
    <w:rsid w:val="00A44550"/>
    <w:rsid w:val="00A5202C"/>
    <w:rsid w:val="00A718BC"/>
    <w:rsid w:val="00A775CF"/>
    <w:rsid w:val="00A77D1A"/>
    <w:rsid w:val="00A8643E"/>
    <w:rsid w:val="00AE332E"/>
    <w:rsid w:val="00B06045"/>
    <w:rsid w:val="00B6422B"/>
    <w:rsid w:val="00BC795F"/>
    <w:rsid w:val="00BE6DE0"/>
    <w:rsid w:val="00C15829"/>
    <w:rsid w:val="00C35A27"/>
    <w:rsid w:val="00C50267"/>
    <w:rsid w:val="00C80E8B"/>
    <w:rsid w:val="00C9007B"/>
    <w:rsid w:val="00CA0D2F"/>
    <w:rsid w:val="00CC3AB5"/>
    <w:rsid w:val="00CF1A9E"/>
    <w:rsid w:val="00D11D0B"/>
    <w:rsid w:val="00D21F34"/>
    <w:rsid w:val="00D31A6A"/>
    <w:rsid w:val="00D45BDD"/>
    <w:rsid w:val="00D61056"/>
    <w:rsid w:val="00D74AB3"/>
    <w:rsid w:val="00D865AF"/>
    <w:rsid w:val="00DB4E91"/>
    <w:rsid w:val="00DB5DBF"/>
    <w:rsid w:val="00DC5AF3"/>
    <w:rsid w:val="00DE77BE"/>
    <w:rsid w:val="00DF0F7D"/>
    <w:rsid w:val="00DF1686"/>
    <w:rsid w:val="00E02C2B"/>
    <w:rsid w:val="00E365B8"/>
    <w:rsid w:val="00E579CF"/>
    <w:rsid w:val="00E774B8"/>
    <w:rsid w:val="00E850C4"/>
    <w:rsid w:val="00EA3905"/>
    <w:rsid w:val="00ED6C48"/>
    <w:rsid w:val="00EF30FD"/>
    <w:rsid w:val="00F43DA1"/>
    <w:rsid w:val="00F64CE1"/>
    <w:rsid w:val="00F65F5D"/>
    <w:rsid w:val="00F77CA8"/>
    <w:rsid w:val="00F82428"/>
    <w:rsid w:val="00F86A3A"/>
    <w:rsid w:val="00F97E9D"/>
    <w:rsid w:val="00FE75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556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sk-SK"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uiPriority="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Outline List 1" w:uiPriority="0"/>
    <w:lsdException w:name="Outline List 2" w:uiPriority="0"/>
    <w:lsdException w:name="Table Grid" w:uiPriority="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y">
    <w:name w:val="Normal"/>
    <w:qFormat/>
    <w:rsid w:val="00C9007B"/>
    <w:pPr>
      <w:suppressAutoHyphens/>
      <w:spacing w:after="0" w:line="240" w:lineRule="atLeast"/>
    </w:pPr>
    <w:rPr>
      <w:rFonts w:ascii="Times New Roman" w:hAnsi="Times New Roman" w:cs="Times New Roman"/>
      <w:sz w:val="20"/>
      <w:szCs w:val="20"/>
      <w:lang w:eastAsia="en-US"/>
    </w:rPr>
  </w:style>
  <w:style w:type="paragraph" w:styleId="Nadpis1">
    <w:name w:val="heading 1"/>
    <w:aliases w:val="Table_G"/>
    <w:basedOn w:val="SingleTxtG"/>
    <w:next w:val="SingleTxtG"/>
    <w:link w:val="Nadpis1Char"/>
    <w:semiHidden/>
    <w:rsid w:val="007268F9"/>
    <w:pPr>
      <w:spacing w:after="0" w:line="240" w:lineRule="auto"/>
      <w:ind w:right="0"/>
      <w:jc w:val="left"/>
      <w:outlineLvl w:val="0"/>
    </w:pPr>
  </w:style>
  <w:style w:type="paragraph" w:styleId="Nadpis2">
    <w:name w:val="heading 2"/>
    <w:basedOn w:val="Normlny"/>
    <w:next w:val="Normlny"/>
    <w:link w:val="Nadpis2Char"/>
    <w:semiHidden/>
    <w:rsid w:val="007268F9"/>
    <w:pPr>
      <w:spacing w:line="240" w:lineRule="auto"/>
      <w:outlineLvl w:val="1"/>
    </w:pPr>
    <w:rPr>
      <w:lang w:eastAsia="zh-CN"/>
    </w:rPr>
  </w:style>
  <w:style w:type="paragraph" w:styleId="Nadpis3">
    <w:name w:val="heading 3"/>
    <w:basedOn w:val="Normlny"/>
    <w:next w:val="Normlny"/>
    <w:link w:val="Nadpis3Char"/>
    <w:semiHidden/>
    <w:rsid w:val="007268F9"/>
    <w:pPr>
      <w:spacing w:line="240" w:lineRule="auto"/>
      <w:outlineLvl w:val="2"/>
    </w:pPr>
    <w:rPr>
      <w:lang w:eastAsia="zh-CN"/>
    </w:rPr>
  </w:style>
  <w:style w:type="paragraph" w:styleId="Nadpis4">
    <w:name w:val="heading 4"/>
    <w:basedOn w:val="Normlny"/>
    <w:next w:val="Normlny"/>
    <w:link w:val="Nadpis4Char"/>
    <w:semiHidden/>
    <w:rsid w:val="007268F9"/>
    <w:pPr>
      <w:spacing w:line="240" w:lineRule="auto"/>
      <w:outlineLvl w:val="3"/>
    </w:pPr>
    <w:rPr>
      <w:lang w:eastAsia="zh-CN"/>
    </w:rPr>
  </w:style>
  <w:style w:type="paragraph" w:styleId="Nadpis5">
    <w:name w:val="heading 5"/>
    <w:basedOn w:val="Normlny"/>
    <w:next w:val="Normlny"/>
    <w:link w:val="Nadpis5Char"/>
    <w:semiHidden/>
    <w:rsid w:val="007268F9"/>
    <w:pPr>
      <w:spacing w:line="240" w:lineRule="auto"/>
      <w:outlineLvl w:val="4"/>
    </w:pPr>
    <w:rPr>
      <w:lang w:eastAsia="zh-CN"/>
    </w:rPr>
  </w:style>
  <w:style w:type="paragraph" w:styleId="Nadpis6">
    <w:name w:val="heading 6"/>
    <w:basedOn w:val="Normlny"/>
    <w:next w:val="Normlny"/>
    <w:link w:val="Nadpis6Char"/>
    <w:semiHidden/>
    <w:rsid w:val="007268F9"/>
    <w:pPr>
      <w:spacing w:line="240" w:lineRule="auto"/>
      <w:outlineLvl w:val="5"/>
    </w:pPr>
    <w:rPr>
      <w:lang w:eastAsia="zh-CN"/>
    </w:rPr>
  </w:style>
  <w:style w:type="paragraph" w:styleId="Nadpis7">
    <w:name w:val="heading 7"/>
    <w:basedOn w:val="Normlny"/>
    <w:next w:val="Normlny"/>
    <w:link w:val="Nadpis7Char"/>
    <w:semiHidden/>
    <w:rsid w:val="007268F9"/>
    <w:pPr>
      <w:spacing w:line="240" w:lineRule="auto"/>
      <w:outlineLvl w:val="6"/>
    </w:pPr>
    <w:rPr>
      <w:lang w:eastAsia="zh-CN"/>
    </w:rPr>
  </w:style>
  <w:style w:type="paragraph" w:styleId="Nadpis8">
    <w:name w:val="heading 8"/>
    <w:basedOn w:val="Normlny"/>
    <w:next w:val="Normlny"/>
    <w:link w:val="Nadpis8Char"/>
    <w:semiHidden/>
    <w:rsid w:val="007268F9"/>
    <w:pPr>
      <w:spacing w:line="240" w:lineRule="auto"/>
      <w:outlineLvl w:val="7"/>
    </w:pPr>
    <w:rPr>
      <w:lang w:eastAsia="zh-CN"/>
    </w:rPr>
  </w:style>
  <w:style w:type="paragraph" w:styleId="Nadpis9">
    <w:name w:val="heading 9"/>
    <w:basedOn w:val="Normlny"/>
    <w:next w:val="Normlny"/>
    <w:link w:val="Nadpis9Char"/>
    <w:semiHidden/>
    <w:rsid w:val="007268F9"/>
    <w:pPr>
      <w:spacing w:line="240" w:lineRule="auto"/>
      <w:outlineLvl w:val="8"/>
    </w:pPr>
    <w:rPr>
      <w:lang w:eastAsia="zh-C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6_G"/>
    <w:basedOn w:val="Normlny"/>
    <w:link w:val="HlavikaChar"/>
    <w:semiHidden/>
    <w:rsid w:val="007268F9"/>
    <w:pPr>
      <w:pBdr>
        <w:bottom w:val="single" w:sz="4" w:space="4" w:color="auto"/>
      </w:pBdr>
      <w:spacing w:line="240" w:lineRule="auto"/>
    </w:pPr>
    <w:rPr>
      <w:b/>
      <w:sz w:val="18"/>
      <w:lang w:eastAsia="zh-CN"/>
    </w:rPr>
  </w:style>
  <w:style w:type="character" w:customStyle="1" w:styleId="HlavikaChar">
    <w:name w:val="Hlavička Char"/>
    <w:aliases w:val="6_G Char"/>
    <w:basedOn w:val="Predvolenpsmoodseku"/>
    <w:link w:val="Hlavika"/>
    <w:semiHidden/>
    <w:rsid w:val="003B4550"/>
    <w:rPr>
      <w:rFonts w:ascii="Times New Roman" w:hAnsi="Times New Roman" w:cs="Times New Roman"/>
      <w:b/>
      <w:sz w:val="18"/>
      <w:szCs w:val="20"/>
    </w:rPr>
  </w:style>
  <w:style w:type="paragraph" w:styleId="Pta">
    <w:name w:val="footer"/>
    <w:aliases w:val="3_G"/>
    <w:basedOn w:val="Normlny"/>
    <w:link w:val="PtaChar"/>
    <w:rsid w:val="007268F9"/>
    <w:pPr>
      <w:spacing w:line="240" w:lineRule="auto"/>
    </w:pPr>
    <w:rPr>
      <w:sz w:val="16"/>
      <w:lang w:eastAsia="zh-CN"/>
    </w:rPr>
  </w:style>
  <w:style w:type="character" w:customStyle="1" w:styleId="PtaChar">
    <w:name w:val="Päta Char"/>
    <w:aliases w:val="3_G Char"/>
    <w:basedOn w:val="Predvolenpsmoodseku"/>
    <w:link w:val="Pta"/>
    <w:rsid w:val="00247E2C"/>
    <w:rPr>
      <w:rFonts w:ascii="Times New Roman" w:eastAsia="SimSun" w:hAnsi="Times New Roman" w:cs="Times New Roman"/>
      <w:sz w:val="16"/>
      <w:szCs w:val="20"/>
    </w:rPr>
  </w:style>
  <w:style w:type="paragraph" w:customStyle="1" w:styleId="HMG">
    <w:name w:val="_ H __M_G"/>
    <w:basedOn w:val="Normlny"/>
    <w:next w:val="Normlny"/>
    <w:rsid w:val="007268F9"/>
    <w:pPr>
      <w:keepNext/>
      <w:keepLines/>
      <w:tabs>
        <w:tab w:val="right" w:pos="851"/>
      </w:tabs>
      <w:spacing w:before="240" w:after="240" w:line="360" w:lineRule="exact"/>
      <w:ind w:left="1134" w:right="1134" w:hanging="1134"/>
    </w:pPr>
    <w:rPr>
      <w:b/>
      <w:sz w:val="34"/>
      <w:lang w:eastAsia="zh-CN"/>
    </w:rPr>
  </w:style>
  <w:style w:type="paragraph" w:customStyle="1" w:styleId="HChG">
    <w:name w:val="_ H _Ch_G"/>
    <w:basedOn w:val="Normlny"/>
    <w:next w:val="Normlny"/>
    <w:rsid w:val="007268F9"/>
    <w:pPr>
      <w:keepNext/>
      <w:keepLines/>
      <w:tabs>
        <w:tab w:val="right" w:pos="851"/>
      </w:tabs>
      <w:spacing w:before="360" w:after="240" w:line="300" w:lineRule="exact"/>
      <w:ind w:left="1134" w:right="1134" w:hanging="1134"/>
    </w:pPr>
    <w:rPr>
      <w:b/>
      <w:sz w:val="28"/>
      <w:lang w:eastAsia="zh-CN"/>
    </w:rPr>
  </w:style>
  <w:style w:type="paragraph" w:customStyle="1" w:styleId="H1G">
    <w:name w:val="_ H_1_G"/>
    <w:basedOn w:val="Normlny"/>
    <w:next w:val="Normlny"/>
    <w:rsid w:val="007268F9"/>
    <w:pPr>
      <w:keepNext/>
      <w:keepLines/>
      <w:tabs>
        <w:tab w:val="right" w:pos="851"/>
      </w:tabs>
      <w:spacing w:before="360" w:after="240" w:line="270" w:lineRule="exact"/>
      <w:ind w:left="1134" w:right="1134" w:hanging="1134"/>
    </w:pPr>
    <w:rPr>
      <w:b/>
      <w:sz w:val="24"/>
      <w:lang w:eastAsia="zh-CN"/>
    </w:rPr>
  </w:style>
  <w:style w:type="paragraph" w:customStyle="1" w:styleId="H23G">
    <w:name w:val="_ H_2/3_G"/>
    <w:basedOn w:val="Normlny"/>
    <w:next w:val="Normlny"/>
    <w:rsid w:val="007268F9"/>
    <w:pPr>
      <w:keepNext/>
      <w:keepLines/>
      <w:tabs>
        <w:tab w:val="right" w:pos="851"/>
      </w:tabs>
      <w:spacing w:before="240" w:after="120" w:line="240" w:lineRule="exact"/>
      <w:ind w:left="1134" w:right="1134" w:hanging="1134"/>
    </w:pPr>
    <w:rPr>
      <w:b/>
      <w:lang w:eastAsia="zh-CN"/>
    </w:rPr>
  </w:style>
  <w:style w:type="paragraph" w:customStyle="1" w:styleId="H4G">
    <w:name w:val="_ H_4_G"/>
    <w:basedOn w:val="Normlny"/>
    <w:next w:val="Normlny"/>
    <w:rsid w:val="007268F9"/>
    <w:pPr>
      <w:keepNext/>
      <w:keepLines/>
      <w:tabs>
        <w:tab w:val="right" w:pos="851"/>
      </w:tabs>
      <w:spacing w:before="240" w:after="120" w:line="240" w:lineRule="exact"/>
      <w:ind w:left="1134" w:right="1134" w:hanging="1134"/>
    </w:pPr>
    <w:rPr>
      <w:i/>
      <w:lang w:eastAsia="zh-CN"/>
    </w:rPr>
  </w:style>
  <w:style w:type="paragraph" w:customStyle="1" w:styleId="H56G">
    <w:name w:val="_ H_5/6_G"/>
    <w:basedOn w:val="Normlny"/>
    <w:next w:val="Normlny"/>
    <w:rsid w:val="007268F9"/>
    <w:pPr>
      <w:keepNext/>
      <w:keepLines/>
      <w:tabs>
        <w:tab w:val="right" w:pos="851"/>
      </w:tabs>
      <w:spacing w:before="240" w:after="120" w:line="240" w:lineRule="exact"/>
      <w:ind w:left="1134" w:right="1134" w:hanging="1134"/>
    </w:pPr>
    <w:rPr>
      <w:lang w:eastAsia="zh-CN"/>
    </w:rPr>
  </w:style>
  <w:style w:type="paragraph" w:customStyle="1" w:styleId="SingleTxtG">
    <w:name w:val="_ Single Txt_G"/>
    <w:basedOn w:val="Normlny"/>
    <w:link w:val="SingleTxtGChar"/>
    <w:rsid w:val="007268F9"/>
    <w:pPr>
      <w:spacing w:after="120"/>
      <w:ind w:left="1134" w:right="1134"/>
      <w:jc w:val="both"/>
    </w:pPr>
    <w:rPr>
      <w:lang w:eastAsia="zh-CN"/>
    </w:rPr>
  </w:style>
  <w:style w:type="paragraph" w:customStyle="1" w:styleId="SLG">
    <w:name w:val="__S_L_G"/>
    <w:basedOn w:val="Normlny"/>
    <w:next w:val="Normlny"/>
    <w:rsid w:val="007268F9"/>
    <w:pPr>
      <w:keepNext/>
      <w:keepLines/>
      <w:spacing w:before="240" w:after="240" w:line="580" w:lineRule="exact"/>
      <w:ind w:left="1134" w:right="1134"/>
    </w:pPr>
    <w:rPr>
      <w:b/>
      <w:sz w:val="56"/>
      <w:lang w:eastAsia="zh-CN"/>
    </w:rPr>
  </w:style>
  <w:style w:type="paragraph" w:customStyle="1" w:styleId="SMG">
    <w:name w:val="__S_M_G"/>
    <w:basedOn w:val="Normlny"/>
    <w:next w:val="Normlny"/>
    <w:rsid w:val="007268F9"/>
    <w:pPr>
      <w:keepNext/>
      <w:keepLines/>
      <w:spacing w:before="240" w:after="240" w:line="420" w:lineRule="exact"/>
      <w:ind w:left="1134" w:right="1134"/>
    </w:pPr>
    <w:rPr>
      <w:b/>
      <w:sz w:val="40"/>
      <w:lang w:eastAsia="zh-CN"/>
    </w:rPr>
  </w:style>
  <w:style w:type="paragraph" w:customStyle="1" w:styleId="SSG">
    <w:name w:val="__S_S_G"/>
    <w:basedOn w:val="Normlny"/>
    <w:next w:val="Normlny"/>
    <w:rsid w:val="007268F9"/>
    <w:pPr>
      <w:keepNext/>
      <w:keepLines/>
      <w:spacing w:before="240" w:after="240" w:line="300" w:lineRule="exact"/>
      <w:ind w:left="1134" w:right="1134"/>
    </w:pPr>
    <w:rPr>
      <w:b/>
      <w:sz w:val="28"/>
      <w:lang w:eastAsia="zh-CN"/>
    </w:rPr>
  </w:style>
  <w:style w:type="paragraph" w:customStyle="1" w:styleId="XLargeG">
    <w:name w:val="__XLarge_G"/>
    <w:basedOn w:val="Normlny"/>
    <w:next w:val="Normlny"/>
    <w:rsid w:val="007268F9"/>
    <w:pPr>
      <w:keepNext/>
      <w:keepLines/>
      <w:spacing w:before="240" w:after="240" w:line="420" w:lineRule="exact"/>
      <w:ind w:left="1134" w:right="1134"/>
    </w:pPr>
    <w:rPr>
      <w:b/>
      <w:sz w:val="40"/>
      <w:lang w:eastAsia="zh-CN"/>
    </w:rPr>
  </w:style>
  <w:style w:type="paragraph" w:customStyle="1" w:styleId="Bullet1G">
    <w:name w:val="_Bullet 1_G"/>
    <w:basedOn w:val="Normlny"/>
    <w:rsid w:val="007268F9"/>
    <w:pPr>
      <w:numPr>
        <w:numId w:val="1"/>
      </w:numPr>
      <w:spacing w:after="120"/>
      <w:ind w:right="1134"/>
      <w:jc w:val="both"/>
    </w:pPr>
    <w:rPr>
      <w:lang w:eastAsia="zh-CN"/>
    </w:rPr>
  </w:style>
  <w:style w:type="paragraph" w:customStyle="1" w:styleId="Bullet2G">
    <w:name w:val="_Bullet 2_G"/>
    <w:basedOn w:val="Normlny"/>
    <w:rsid w:val="007268F9"/>
    <w:pPr>
      <w:numPr>
        <w:numId w:val="2"/>
      </w:numPr>
      <w:spacing w:after="120"/>
      <w:ind w:right="1134"/>
      <w:jc w:val="both"/>
    </w:pPr>
    <w:rPr>
      <w:lang w:eastAsia="zh-CN"/>
    </w:rPr>
  </w:style>
  <w:style w:type="paragraph" w:customStyle="1" w:styleId="ParaNoG">
    <w:name w:val="_ParaNo._G"/>
    <w:basedOn w:val="SingleTxtG"/>
    <w:rsid w:val="007268F9"/>
    <w:pPr>
      <w:numPr>
        <w:numId w:val="3"/>
      </w:numPr>
    </w:pPr>
  </w:style>
  <w:style w:type="numbering" w:styleId="111111">
    <w:name w:val="Outline List 2"/>
    <w:basedOn w:val="Bezzoznamu"/>
    <w:semiHidden/>
    <w:rsid w:val="007268F9"/>
    <w:pPr>
      <w:numPr>
        <w:numId w:val="5"/>
      </w:numPr>
    </w:pPr>
  </w:style>
  <w:style w:type="numbering" w:styleId="1ai">
    <w:name w:val="Outline List 1"/>
    <w:basedOn w:val="Bezzoznamu"/>
    <w:semiHidden/>
    <w:rsid w:val="007268F9"/>
    <w:pPr>
      <w:numPr>
        <w:numId w:val="6"/>
      </w:numPr>
    </w:pPr>
  </w:style>
  <w:style w:type="character" w:styleId="Odkaznavysvetlivku">
    <w:name w:val="endnote reference"/>
    <w:aliases w:val="1_G"/>
    <w:rsid w:val="007268F9"/>
    <w:rPr>
      <w:rFonts w:ascii="Times New Roman" w:hAnsi="Times New Roman"/>
      <w:sz w:val="18"/>
      <w:vertAlign w:val="superscript"/>
    </w:rPr>
  </w:style>
  <w:style w:type="paragraph" w:styleId="Textpoznmkypodiarou">
    <w:name w:val="footnote text"/>
    <w:aliases w:val="5_G"/>
    <w:basedOn w:val="Normlny"/>
    <w:link w:val="TextpoznmkypodiarouChar"/>
    <w:rsid w:val="00C15829"/>
    <w:pPr>
      <w:tabs>
        <w:tab w:val="right" w:pos="1021"/>
      </w:tabs>
      <w:suppressAutoHyphens w:val="0"/>
      <w:spacing w:line="220" w:lineRule="exact"/>
      <w:ind w:left="1134" w:right="1134" w:hanging="1134"/>
    </w:pPr>
    <w:rPr>
      <w:rFonts w:eastAsiaTheme="minorEastAsia"/>
      <w:sz w:val="18"/>
      <w:lang w:eastAsia="zh-CN"/>
    </w:rPr>
  </w:style>
  <w:style w:type="character" w:customStyle="1" w:styleId="TextpoznmkypodiarouChar">
    <w:name w:val="Text poznámky pod čiarou Char"/>
    <w:aliases w:val="5_G Char"/>
    <w:basedOn w:val="Predvolenpsmoodseku"/>
    <w:link w:val="Textpoznmkypodiarou"/>
    <w:rsid w:val="00C15829"/>
    <w:rPr>
      <w:rFonts w:ascii="Times New Roman" w:eastAsiaTheme="minorEastAsia" w:hAnsi="Times New Roman" w:cs="Times New Roman"/>
      <w:sz w:val="18"/>
      <w:szCs w:val="20"/>
    </w:rPr>
  </w:style>
  <w:style w:type="paragraph" w:styleId="Textvysvetlivky">
    <w:name w:val="endnote text"/>
    <w:aliases w:val="2_G"/>
    <w:basedOn w:val="Textpoznmkypodiarou"/>
    <w:link w:val="TextvysvetlivkyChar"/>
    <w:rsid w:val="007268F9"/>
  </w:style>
  <w:style w:type="character" w:customStyle="1" w:styleId="TextvysvetlivkyChar">
    <w:name w:val="Text vysvetlivky Char"/>
    <w:aliases w:val="2_G Char"/>
    <w:basedOn w:val="Predvolenpsmoodseku"/>
    <w:link w:val="Textvysvetlivky"/>
    <w:rsid w:val="007268F9"/>
    <w:rPr>
      <w:rFonts w:ascii="Times New Roman" w:eastAsia="SimSun" w:hAnsi="Times New Roman" w:cs="Times New Roman"/>
      <w:sz w:val="18"/>
      <w:szCs w:val="20"/>
    </w:rPr>
  </w:style>
  <w:style w:type="character" w:styleId="Odkaznapoznmkupodiarou">
    <w:name w:val="footnote reference"/>
    <w:aliases w:val="4_G"/>
    <w:rsid w:val="00C15829"/>
    <w:rPr>
      <w:rFonts w:ascii="Times New Roman" w:hAnsi="Times New Roman"/>
      <w:sz w:val="18"/>
      <w:vertAlign w:val="superscript"/>
    </w:rPr>
  </w:style>
  <w:style w:type="character" w:customStyle="1" w:styleId="Nadpis1Char">
    <w:name w:val="Nadpis 1 Char"/>
    <w:aliases w:val="Table_G Char"/>
    <w:basedOn w:val="Predvolenpsmoodseku"/>
    <w:link w:val="Nadpis1"/>
    <w:semiHidden/>
    <w:rsid w:val="003B4550"/>
    <w:rPr>
      <w:rFonts w:ascii="Times New Roman" w:hAnsi="Times New Roman" w:cs="Times New Roman"/>
      <w:sz w:val="20"/>
      <w:szCs w:val="20"/>
    </w:rPr>
  </w:style>
  <w:style w:type="character" w:customStyle="1" w:styleId="Nadpis2Char">
    <w:name w:val="Nadpis 2 Char"/>
    <w:basedOn w:val="Predvolenpsmoodseku"/>
    <w:link w:val="Nadpis2"/>
    <w:semiHidden/>
    <w:rsid w:val="003B4550"/>
    <w:rPr>
      <w:rFonts w:ascii="Times New Roman" w:hAnsi="Times New Roman" w:cs="Times New Roman"/>
      <w:sz w:val="20"/>
      <w:szCs w:val="20"/>
    </w:rPr>
  </w:style>
  <w:style w:type="character" w:customStyle="1" w:styleId="Nadpis3Char">
    <w:name w:val="Nadpis 3 Char"/>
    <w:basedOn w:val="Predvolenpsmoodseku"/>
    <w:link w:val="Nadpis3"/>
    <w:semiHidden/>
    <w:rsid w:val="003B4550"/>
    <w:rPr>
      <w:rFonts w:ascii="Times New Roman" w:hAnsi="Times New Roman" w:cs="Times New Roman"/>
      <w:sz w:val="20"/>
      <w:szCs w:val="20"/>
    </w:rPr>
  </w:style>
  <w:style w:type="character" w:customStyle="1" w:styleId="Nadpis4Char">
    <w:name w:val="Nadpis 4 Char"/>
    <w:basedOn w:val="Predvolenpsmoodseku"/>
    <w:link w:val="Nadpis4"/>
    <w:semiHidden/>
    <w:rsid w:val="003B4550"/>
    <w:rPr>
      <w:rFonts w:ascii="Times New Roman" w:hAnsi="Times New Roman" w:cs="Times New Roman"/>
      <w:sz w:val="20"/>
      <w:szCs w:val="20"/>
    </w:rPr>
  </w:style>
  <w:style w:type="character" w:customStyle="1" w:styleId="Nadpis5Char">
    <w:name w:val="Nadpis 5 Char"/>
    <w:basedOn w:val="Predvolenpsmoodseku"/>
    <w:link w:val="Nadpis5"/>
    <w:semiHidden/>
    <w:rsid w:val="003B4550"/>
    <w:rPr>
      <w:rFonts w:ascii="Times New Roman" w:hAnsi="Times New Roman" w:cs="Times New Roman"/>
      <w:sz w:val="20"/>
      <w:szCs w:val="20"/>
    </w:rPr>
  </w:style>
  <w:style w:type="character" w:customStyle="1" w:styleId="Nadpis6Char">
    <w:name w:val="Nadpis 6 Char"/>
    <w:basedOn w:val="Predvolenpsmoodseku"/>
    <w:link w:val="Nadpis6"/>
    <w:semiHidden/>
    <w:rsid w:val="003B4550"/>
    <w:rPr>
      <w:rFonts w:ascii="Times New Roman" w:hAnsi="Times New Roman" w:cs="Times New Roman"/>
      <w:sz w:val="20"/>
      <w:szCs w:val="20"/>
    </w:rPr>
  </w:style>
  <w:style w:type="character" w:customStyle="1" w:styleId="Nadpis7Char">
    <w:name w:val="Nadpis 7 Char"/>
    <w:basedOn w:val="Predvolenpsmoodseku"/>
    <w:link w:val="Nadpis7"/>
    <w:semiHidden/>
    <w:rsid w:val="003B4550"/>
    <w:rPr>
      <w:rFonts w:ascii="Times New Roman" w:hAnsi="Times New Roman" w:cs="Times New Roman"/>
      <w:sz w:val="20"/>
      <w:szCs w:val="20"/>
    </w:rPr>
  </w:style>
  <w:style w:type="character" w:customStyle="1" w:styleId="Nadpis8Char">
    <w:name w:val="Nadpis 8 Char"/>
    <w:basedOn w:val="Predvolenpsmoodseku"/>
    <w:link w:val="Nadpis8"/>
    <w:semiHidden/>
    <w:rsid w:val="003B4550"/>
    <w:rPr>
      <w:rFonts w:ascii="Times New Roman" w:hAnsi="Times New Roman" w:cs="Times New Roman"/>
      <w:sz w:val="20"/>
      <w:szCs w:val="20"/>
    </w:rPr>
  </w:style>
  <w:style w:type="character" w:customStyle="1" w:styleId="Nadpis9Char">
    <w:name w:val="Nadpis 9 Char"/>
    <w:basedOn w:val="Predvolenpsmoodseku"/>
    <w:link w:val="Nadpis9"/>
    <w:semiHidden/>
    <w:rsid w:val="003B4550"/>
    <w:rPr>
      <w:rFonts w:ascii="Times New Roman" w:hAnsi="Times New Roman" w:cs="Times New Roman"/>
      <w:sz w:val="20"/>
      <w:szCs w:val="20"/>
    </w:rPr>
  </w:style>
  <w:style w:type="character" w:styleId="slostrany">
    <w:name w:val="page number"/>
    <w:aliases w:val="7_G"/>
    <w:semiHidden/>
    <w:rsid w:val="007268F9"/>
    <w:rPr>
      <w:rFonts w:ascii="Times New Roman" w:hAnsi="Times New Roman"/>
      <w:b/>
      <w:sz w:val="18"/>
    </w:rPr>
  </w:style>
  <w:style w:type="character" w:styleId="Nzovknihy">
    <w:name w:val="Book Title"/>
    <w:basedOn w:val="Predvolenpsmoodseku"/>
    <w:uiPriority w:val="33"/>
    <w:semiHidden/>
    <w:rsid w:val="007268F9"/>
    <w:rPr>
      <w:b/>
      <w:bCs/>
      <w:smallCaps/>
      <w:spacing w:val="5"/>
    </w:rPr>
  </w:style>
  <w:style w:type="table" w:styleId="Mriekatabuky">
    <w:name w:val="Table Grid"/>
    <w:basedOn w:val="Normlnatabuka"/>
    <w:rsid w:val="00C9007B"/>
    <w:pPr>
      <w:suppressAutoHyphens/>
      <w:spacing w:after="0" w:line="240" w:lineRule="atLeast"/>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C9007B"/>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9007B"/>
    <w:rPr>
      <w:rFonts w:ascii="Tahoma" w:hAnsi="Tahoma" w:cs="Tahoma"/>
      <w:sz w:val="16"/>
      <w:szCs w:val="16"/>
      <w:lang w:eastAsia="en-US"/>
    </w:rPr>
  </w:style>
  <w:style w:type="character" w:customStyle="1" w:styleId="SingleTxtGChar">
    <w:name w:val="_ Single Txt_G Char"/>
    <w:basedOn w:val="Predvolenpsmoodseku"/>
    <w:link w:val="SingleTxtG"/>
    <w:rsid w:val="006E4390"/>
    <w:rPr>
      <w:rFonts w:ascii="Times New Roman" w:hAnsi="Times New Roman" w:cs="Times New Roman"/>
      <w:sz w:val="20"/>
      <w:szCs w:val="20"/>
    </w:rPr>
  </w:style>
  <w:style w:type="character" w:styleId="Hypertextovprepojenie">
    <w:name w:val="Hyperlink"/>
    <w:basedOn w:val="Predvolenpsmoodseku"/>
    <w:uiPriority w:val="99"/>
    <w:unhideWhenUsed/>
    <w:rsid w:val="00DE77BE"/>
    <w:rPr>
      <w:color w:val="0000FF" w:themeColor="hyperlink"/>
      <w:u w:val="single"/>
    </w:rPr>
  </w:style>
  <w:style w:type="character" w:styleId="Odkaznakomentr">
    <w:name w:val="annotation reference"/>
    <w:basedOn w:val="Predvolenpsmoodseku"/>
    <w:uiPriority w:val="99"/>
    <w:semiHidden/>
    <w:unhideWhenUsed/>
    <w:rsid w:val="00F43DA1"/>
    <w:rPr>
      <w:sz w:val="16"/>
      <w:szCs w:val="16"/>
    </w:rPr>
  </w:style>
  <w:style w:type="paragraph" w:styleId="Textkomentra">
    <w:name w:val="annotation text"/>
    <w:basedOn w:val="Normlny"/>
    <w:link w:val="TextkomentraChar"/>
    <w:uiPriority w:val="99"/>
    <w:semiHidden/>
    <w:unhideWhenUsed/>
    <w:rsid w:val="00F43DA1"/>
    <w:pPr>
      <w:spacing w:line="240" w:lineRule="auto"/>
    </w:pPr>
  </w:style>
  <w:style w:type="character" w:customStyle="1" w:styleId="TextkomentraChar">
    <w:name w:val="Text komentára Char"/>
    <w:basedOn w:val="Predvolenpsmoodseku"/>
    <w:link w:val="Textkomentra"/>
    <w:uiPriority w:val="99"/>
    <w:semiHidden/>
    <w:rsid w:val="00F43DA1"/>
    <w:rPr>
      <w:rFonts w:ascii="Times New Roman" w:hAnsi="Times New Roman" w:cs="Times New Roman"/>
      <w:sz w:val="20"/>
      <w:szCs w:val="20"/>
      <w:lang w:eastAsia="en-US"/>
    </w:rPr>
  </w:style>
  <w:style w:type="paragraph" w:styleId="Predmetkomentra">
    <w:name w:val="annotation subject"/>
    <w:basedOn w:val="Textkomentra"/>
    <w:next w:val="Textkomentra"/>
    <w:link w:val="PredmetkomentraChar"/>
    <w:uiPriority w:val="99"/>
    <w:semiHidden/>
    <w:unhideWhenUsed/>
    <w:rsid w:val="00F43DA1"/>
    <w:rPr>
      <w:b/>
      <w:bCs/>
    </w:rPr>
  </w:style>
  <w:style w:type="character" w:customStyle="1" w:styleId="PredmetkomentraChar">
    <w:name w:val="Predmet komentára Char"/>
    <w:basedOn w:val="TextkomentraChar"/>
    <w:link w:val="Predmetkomentra"/>
    <w:uiPriority w:val="99"/>
    <w:semiHidden/>
    <w:rsid w:val="00F43DA1"/>
    <w:rPr>
      <w:rFonts w:ascii="Times New Roman" w:hAnsi="Times New Roman" w:cs="Times New Roman"/>
      <w:b/>
      <w:bCs/>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sk-SK"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uiPriority="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Outline List 1" w:uiPriority="0"/>
    <w:lsdException w:name="Outline List 2" w:uiPriority="0"/>
    <w:lsdException w:name="Table Grid" w:uiPriority="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y">
    <w:name w:val="Normal"/>
    <w:qFormat/>
    <w:rsid w:val="00C9007B"/>
    <w:pPr>
      <w:suppressAutoHyphens/>
      <w:spacing w:after="0" w:line="240" w:lineRule="atLeast"/>
    </w:pPr>
    <w:rPr>
      <w:rFonts w:ascii="Times New Roman" w:hAnsi="Times New Roman" w:cs="Times New Roman"/>
      <w:sz w:val="20"/>
      <w:szCs w:val="20"/>
      <w:lang w:eastAsia="en-US"/>
    </w:rPr>
  </w:style>
  <w:style w:type="paragraph" w:styleId="Nadpis1">
    <w:name w:val="heading 1"/>
    <w:aliases w:val="Table_G"/>
    <w:basedOn w:val="SingleTxtG"/>
    <w:next w:val="SingleTxtG"/>
    <w:link w:val="Nadpis1Char"/>
    <w:semiHidden/>
    <w:rsid w:val="007268F9"/>
    <w:pPr>
      <w:spacing w:after="0" w:line="240" w:lineRule="auto"/>
      <w:ind w:right="0"/>
      <w:jc w:val="left"/>
      <w:outlineLvl w:val="0"/>
    </w:pPr>
  </w:style>
  <w:style w:type="paragraph" w:styleId="Nadpis2">
    <w:name w:val="heading 2"/>
    <w:basedOn w:val="Normlny"/>
    <w:next w:val="Normlny"/>
    <w:link w:val="Nadpis2Char"/>
    <w:semiHidden/>
    <w:rsid w:val="007268F9"/>
    <w:pPr>
      <w:spacing w:line="240" w:lineRule="auto"/>
      <w:outlineLvl w:val="1"/>
    </w:pPr>
    <w:rPr>
      <w:lang w:eastAsia="zh-CN"/>
    </w:rPr>
  </w:style>
  <w:style w:type="paragraph" w:styleId="Nadpis3">
    <w:name w:val="heading 3"/>
    <w:basedOn w:val="Normlny"/>
    <w:next w:val="Normlny"/>
    <w:link w:val="Nadpis3Char"/>
    <w:semiHidden/>
    <w:rsid w:val="007268F9"/>
    <w:pPr>
      <w:spacing w:line="240" w:lineRule="auto"/>
      <w:outlineLvl w:val="2"/>
    </w:pPr>
    <w:rPr>
      <w:lang w:eastAsia="zh-CN"/>
    </w:rPr>
  </w:style>
  <w:style w:type="paragraph" w:styleId="Nadpis4">
    <w:name w:val="heading 4"/>
    <w:basedOn w:val="Normlny"/>
    <w:next w:val="Normlny"/>
    <w:link w:val="Nadpis4Char"/>
    <w:semiHidden/>
    <w:rsid w:val="007268F9"/>
    <w:pPr>
      <w:spacing w:line="240" w:lineRule="auto"/>
      <w:outlineLvl w:val="3"/>
    </w:pPr>
    <w:rPr>
      <w:lang w:eastAsia="zh-CN"/>
    </w:rPr>
  </w:style>
  <w:style w:type="paragraph" w:styleId="Nadpis5">
    <w:name w:val="heading 5"/>
    <w:basedOn w:val="Normlny"/>
    <w:next w:val="Normlny"/>
    <w:link w:val="Nadpis5Char"/>
    <w:semiHidden/>
    <w:rsid w:val="007268F9"/>
    <w:pPr>
      <w:spacing w:line="240" w:lineRule="auto"/>
      <w:outlineLvl w:val="4"/>
    </w:pPr>
    <w:rPr>
      <w:lang w:eastAsia="zh-CN"/>
    </w:rPr>
  </w:style>
  <w:style w:type="paragraph" w:styleId="Nadpis6">
    <w:name w:val="heading 6"/>
    <w:basedOn w:val="Normlny"/>
    <w:next w:val="Normlny"/>
    <w:link w:val="Nadpis6Char"/>
    <w:semiHidden/>
    <w:rsid w:val="007268F9"/>
    <w:pPr>
      <w:spacing w:line="240" w:lineRule="auto"/>
      <w:outlineLvl w:val="5"/>
    </w:pPr>
    <w:rPr>
      <w:lang w:eastAsia="zh-CN"/>
    </w:rPr>
  </w:style>
  <w:style w:type="paragraph" w:styleId="Nadpis7">
    <w:name w:val="heading 7"/>
    <w:basedOn w:val="Normlny"/>
    <w:next w:val="Normlny"/>
    <w:link w:val="Nadpis7Char"/>
    <w:semiHidden/>
    <w:rsid w:val="007268F9"/>
    <w:pPr>
      <w:spacing w:line="240" w:lineRule="auto"/>
      <w:outlineLvl w:val="6"/>
    </w:pPr>
    <w:rPr>
      <w:lang w:eastAsia="zh-CN"/>
    </w:rPr>
  </w:style>
  <w:style w:type="paragraph" w:styleId="Nadpis8">
    <w:name w:val="heading 8"/>
    <w:basedOn w:val="Normlny"/>
    <w:next w:val="Normlny"/>
    <w:link w:val="Nadpis8Char"/>
    <w:semiHidden/>
    <w:rsid w:val="007268F9"/>
    <w:pPr>
      <w:spacing w:line="240" w:lineRule="auto"/>
      <w:outlineLvl w:val="7"/>
    </w:pPr>
    <w:rPr>
      <w:lang w:eastAsia="zh-CN"/>
    </w:rPr>
  </w:style>
  <w:style w:type="paragraph" w:styleId="Nadpis9">
    <w:name w:val="heading 9"/>
    <w:basedOn w:val="Normlny"/>
    <w:next w:val="Normlny"/>
    <w:link w:val="Nadpis9Char"/>
    <w:semiHidden/>
    <w:rsid w:val="007268F9"/>
    <w:pPr>
      <w:spacing w:line="240" w:lineRule="auto"/>
      <w:outlineLvl w:val="8"/>
    </w:pPr>
    <w:rPr>
      <w:lang w:eastAsia="zh-C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6_G"/>
    <w:basedOn w:val="Normlny"/>
    <w:link w:val="HlavikaChar"/>
    <w:semiHidden/>
    <w:rsid w:val="007268F9"/>
    <w:pPr>
      <w:pBdr>
        <w:bottom w:val="single" w:sz="4" w:space="4" w:color="auto"/>
      </w:pBdr>
      <w:spacing w:line="240" w:lineRule="auto"/>
    </w:pPr>
    <w:rPr>
      <w:b/>
      <w:sz w:val="18"/>
      <w:lang w:eastAsia="zh-CN"/>
    </w:rPr>
  </w:style>
  <w:style w:type="character" w:customStyle="1" w:styleId="HlavikaChar">
    <w:name w:val="Hlavička Char"/>
    <w:aliases w:val="6_G Char"/>
    <w:basedOn w:val="Predvolenpsmoodseku"/>
    <w:link w:val="Hlavika"/>
    <w:semiHidden/>
    <w:rsid w:val="003B4550"/>
    <w:rPr>
      <w:rFonts w:ascii="Times New Roman" w:hAnsi="Times New Roman" w:cs="Times New Roman"/>
      <w:b/>
      <w:sz w:val="18"/>
      <w:szCs w:val="20"/>
    </w:rPr>
  </w:style>
  <w:style w:type="paragraph" w:styleId="Pta">
    <w:name w:val="footer"/>
    <w:aliases w:val="3_G"/>
    <w:basedOn w:val="Normlny"/>
    <w:link w:val="PtaChar"/>
    <w:rsid w:val="007268F9"/>
    <w:pPr>
      <w:spacing w:line="240" w:lineRule="auto"/>
    </w:pPr>
    <w:rPr>
      <w:sz w:val="16"/>
      <w:lang w:eastAsia="zh-CN"/>
    </w:rPr>
  </w:style>
  <w:style w:type="character" w:customStyle="1" w:styleId="PtaChar">
    <w:name w:val="Päta Char"/>
    <w:aliases w:val="3_G Char"/>
    <w:basedOn w:val="Predvolenpsmoodseku"/>
    <w:link w:val="Pta"/>
    <w:rsid w:val="00247E2C"/>
    <w:rPr>
      <w:rFonts w:ascii="Times New Roman" w:eastAsia="SimSun" w:hAnsi="Times New Roman" w:cs="Times New Roman"/>
      <w:sz w:val="16"/>
      <w:szCs w:val="20"/>
    </w:rPr>
  </w:style>
  <w:style w:type="paragraph" w:customStyle="1" w:styleId="HMG">
    <w:name w:val="_ H __M_G"/>
    <w:basedOn w:val="Normlny"/>
    <w:next w:val="Normlny"/>
    <w:rsid w:val="007268F9"/>
    <w:pPr>
      <w:keepNext/>
      <w:keepLines/>
      <w:tabs>
        <w:tab w:val="right" w:pos="851"/>
      </w:tabs>
      <w:spacing w:before="240" w:after="240" w:line="360" w:lineRule="exact"/>
      <w:ind w:left="1134" w:right="1134" w:hanging="1134"/>
    </w:pPr>
    <w:rPr>
      <w:b/>
      <w:sz w:val="34"/>
      <w:lang w:eastAsia="zh-CN"/>
    </w:rPr>
  </w:style>
  <w:style w:type="paragraph" w:customStyle="1" w:styleId="HChG">
    <w:name w:val="_ H _Ch_G"/>
    <w:basedOn w:val="Normlny"/>
    <w:next w:val="Normlny"/>
    <w:rsid w:val="007268F9"/>
    <w:pPr>
      <w:keepNext/>
      <w:keepLines/>
      <w:tabs>
        <w:tab w:val="right" w:pos="851"/>
      </w:tabs>
      <w:spacing w:before="360" w:after="240" w:line="300" w:lineRule="exact"/>
      <w:ind w:left="1134" w:right="1134" w:hanging="1134"/>
    </w:pPr>
    <w:rPr>
      <w:b/>
      <w:sz w:val="28"/>
      <w:lang w:eastAsia="zh-CN"/>
    </w:rPr>
  </w:style>
  <w:style w:type="paragraph" w:customStyle="1" w:styleId="H1G">
    <w:name w:val="_ H_1_G"/>
    <w:basedOn w:val="Normlny"/>
    <w:next w:val="Normlny"/>
    <w:rsid w:val="007268F9"/>
    <w:pPr>
      <w:keepNext/>
      <w:keepLines/>
      <w:tabs>
        <w:tab w:val="right" w:pos="851"/>
      </w:tabs>
      <w:spacing w:before="360" w:after="240" w:line="270" w:lineRule="exact"/>
      <w:ind w:left="1134" w:right="1134" w:hanging="1134"/>
    </w:pPr>
    <w:rPr>
      <w:b/>
      <w:sz w:val="24"/>
      <w:lang w:eastAsia="zh-CN"/>
    </w:rPr>
  </w:style>
  <w:style w:type="paragraph" w:customStyle="1" w:styleId="H23G">
    <w:name w:val="_ H_2/3_G"/>
    <w:basedOn w:val="Normlny"/>
    <w:next w:val="Normlny"/>
    <w:rsid w:val="007268F9"/>
    <w:pPr>
      <w:keepNext/>
      <w:keepLines/>
      <w:tabs>
        <w:tab w:val="right" w:pos="851"/>
      </w:tabs>
      <w:spacing w:before="240" w:after="120" w:line="240" w:lineRule="exact"/>
      <w:ind w:left="1134" w:right="1134" w:hanging="1134"/>
    </w:pPr>
    <w:rPr>
      <w:b/>
      <w:lang w:eastAsia="zh-CN"/>
    </w:rPr>
  </w:style>
  <w:style w:type="paragraph" w:customStyle="1" w:styleId="H4G">
    <w:name w:val="_ H_4_G"/>
    <w:basedOn w:val="Normlny"/>
    <w:next w:val="Normlny"/>
    <w:rsid w:val="007268F9"/>
    <w:pPr>
      <w:keepNext/>
      <w:keepLines/>
      <w:tabs>
        <w:tab w:val="right" w:pos="851"/>
      </w:tabs>
      <w:spacing w:before="240" w:after="120" w:line="240" w:lineRule="exact"/>
      <w:ind w:left="1134" w:right="1134" w:hanging="1134"/>
    </w:pPr>
    <w:rPr>
      <w:i/>
      <w:lang w:eastAsia="zh-CN"/>
    </w:rPr>
  </w:style>
  <w:style w:type="paragraph" w:customStyle="1" w:styleId="H56G">
    <w:name w:val="_ H_5/6_G"/>
    <w:basedOn w:val="Normlny"/>
    <w:next w:val="Normlny"/>
    <w:rsid w:val="007268F9"/>
    <w:pPr>
      <w:keepNext/>
      <w:keepLines/>
      <w:tabs>
        <w:tab w:val="right" w:pos="851"/>
      </w:tabs>
      <w:spacing w:before="240" w:after="120" w:line="240" w:lineRule="exact"/>
      <w:ind w:left="1134" w:right="1134" w:hanging="1134"/>
    </w:pPr>
    <w:rPr>
      <w:lang w:eastAsia="zh-CN"/>
    </w:rPr>
  </w:style>
  <w:style w:type="paragraph" w:customStyle="1" w:styleId="SingleTxtG">
    <w:name w:val="_ Single Txt_G"/>
    <w:basedOn w:val="Normlny"/>
    <w:link w:val="SingleTxtGChar"/>
    <w:rsid w:val="007268F9"/>
    <w:pPr>
      <w:spacing w:after="120"/>
      <w:ind w:left="1134" w:right="1134"/>
      <w:jc w:val="both"/>
    </w:pPr>
    <w:rPr>
      <w:lang w:eastAsia="zh-CN"/>
    </w:rPr>
  </w:style>
  <w:style w:type="paragraph" w:customStyle="1" w:styleId="SLG">
    <w:name w:val="__S_L_G"/>
    <w:basedOn w:val="Normlny"/>
    <w:next w:val="Normlny"/>
    <w:rsid w:val="007268F9"/>
    <w:pPr>
      <w:keepNext/>
      <w:keepLines/>
      <w:spacing w:before="240" w:after="240" w:line="580" w:lineRule="exact"/>
      <w:ind w:left="1134" w:right="1134"/>
    </w:pPr>
    <w:rPr>
      <w:b/>
      <w:sz w:val="56"/>
      <w:lang w:eastAsia="zh-CN"/>
    </w:rPr>
  </w:style>
  <w:style w:type="paragraph" w:customStyle="1" w:styleId="SMG">
    <w:name w:val="__S_M_G"/>
    <w:basedOn w:val="Normlny"/>
    <w:next w:val="Normlny"/>
    <w:rsid w:val="007268F9"/>
    <w:pPr>
      <w:keepNext/>
      <w:keepLines/>
      <w:spacing w:before="240" w:after="240" w:line="420" w:lineRule="exact"/>
      <w:ind w:left="1134" w:right="1134"/>
    </w:pPr>
    <w:rPr>
      <w:b/>
      <w:sz w:val="40"/>
      <w:lang w:eastAsia="zh-CN"/>
    </w:rPr>
  </w:style>
  <w:style w:type="paragraph" w:customStyle="1" w:styleId="SSG">
    <w:name w:val="__S_S_G"/>
    <w:basedOn w:val="Normlny"/>
    <w:next w:val="Normlny"/>
    <w:rsid w:val="007268F9"/>
    <w:pPr>
      <w:keepNext/>
      <w:keepLines/>
      <w:spacing w:before="240" w:after="240" w:line="300" w:lineRule="exact"/>
      <w:ind w:left="1134" w:right="1134"/>
    </w:pPr>
    <w:rPr>
      <w:b/>
      <w:sz w:val="28"/>
      <w:lang w:eastAsia="zh-CN"/>
    </w:rPr>
  </w:style>
  <w:style w:type="paragraph" w:customStyle="1" w:styleId="XLargeG">
    <w:name w:val="__XLarge_G"/>
    <w:basedOn w:val="Normlny"/>
    <w:next w:val="Normlny"/>
    <w:rsid w:val="007268F9"/>
    <w:pPr>
      <w:keepNext/>
      <w:keepLines/>
      <w:spacing w:before="240" w:after="240" w:line="420" w:lineRule="exact"/>
      <w:ind w:left="1134" w:right="1134"/>
    </w:pPr>
    <w:rPr>
      <w:b/>
      <w:sz w:val="40"/>
      <w:lang w:eastAsia="zh-CN"/>
    </w:rPr>
  </w:style>
  <w:style w:type="paragraph" w:customStyle="1" w:styleId="Bullet1G">
    <w:name w:val="_Bullet 1_G"/>
    <w:basedOn w:val="Normlny"/>
    <w:rsid w:val="007268F9"/>
    <w:pPr>
      <w:numPr>
        <w:numId w:val="1"/>
      </w:numPr>
      <w:spacing w:after="120"/>
      <w:ind w:right="1134"/>
      <w:jc w:val="both"/>
    </w:pPr>
    <w:rPr>
      <w:lang w:eastAsia="zh-CN"/>
    </w:rPr>
  </w:style>
  <w:style w:type="paragraph" w:customStyle="1" w:styleId="Bullet2G">
    <w:name w:val="_Bullet 2_G"/>
    <w:basedOn w:val="Normlny"/>
    <w:rsid w:val="007268F9"/>
    <w:pPr>
      <w:numPr>
        <w:numId w:val="2"/>
      </w:numPr>
      <w:spacing w:after="120"/>
      <w:ind w:right="1134"/>
      <w:jc w:val="both"/>
    </w:pPr>
    <w:rPr>
      <w:lang w:eastAsia="zh-CN"/>
    </w:rPr>
  </w:style>
  <w:style w:type="paragraph" w:customStyle="1" w:styleId="ParaNoG">
    <w:name w:val="_ParaNo._G"/>
    <w:basedOn w:val="SingleTxtG"/>
    <w:rsid w:val="007268F9"/>
    <w:pPr>
      <w:numPr>
        <w:numId w:val="3"/>
      </w:numPr>
    </w:pPr>
  </w:style>
  <w:style w:type="numbering" w:styleId="111111">
    <w:name w:val="Outline List 2"/>
    <w:basedOn w:val="Bezzoznamu"/>
    <w:semiHidden/>
    <w:rsid w:val="007268F9"/>
    <w:pPr>
      <w:numPr>
        <w:numId w:val="5"/>
      </w:numPr>
    </w:pPr>
  </w:style>
  <w:style w:type="numbering" w:styleId="1ai">
    <w:name w:val="Outline List 1"/>
    <w:basedOn w:val="Bezzoznamu"/>
    <w:semiHidden/>
    <w:rsid w:val="007268F9"/>
    <w:pPr>
      <w:numPr>
        <w:numId w:val="6"/>
      </w:numPr>
    </w:pPr>
  </w:style>
  <w:style w:type="character" w:styleId="Odkaznavysvetlivku">
    <w:name w:val="endnote reference"/>
    <w:aliases w:val="1_G"/>
    <w:rsid w:val="007268F9"/>
    <w:rPr>
      <w:rFonts w:ascii="Times New Roman" w:hAnsi="Times New Roman"/>
      <w:sz w:val="18"/>
      <w:vertAlign w:val="superscript"/>
    </w:rPr>
  </w:style>
  <w:style w:type="paragraph" w:styleId="Textpoznmkypodiarou">
    <w:name w:val="footnote text"/>
    <w:aliases w:val="5_G"/>
    <w:basedOn w:val="Normlny"/>
    <w:link w:val="TextpoznmkypodiarouChar"/>
    <w:rsid w:val="00C15829"/>
    <w:pPr>
      <w:tabs>
        <w:tab w:val="right" w:pos="1021"/>
      </w:tabs>
      <w:suppressAutoHyphens w:val="0"/>
      <w:spacing w:line="220" w:lineRule="exact"/>
      <w:ind w:left="1134" w:right="1134" w:hanging="1134"/>
    </w:pPr>
    <w:rPr>
      <w:rFonts w:eastAsiaTheme="minorEastAsia"/>
      <w:sz w:val="18"/>
      <w:lang w:eastAsia="zh-CN"/>
    </w:rPr>
  </w:style>
  <w:style w:type="character" w:customStyle="1" w:styleId="TextpoznmkypodiarouChar">
    <w:name w:val="Text poznámky pod čiarou Char"/>
    <w:aliases w:val="5_G Char"/>
    <w:basedOn w:val="Predvolenpsmoodseku"/>
    <w:link w:val="Textpoznmkypodiarou"/>
    <w:rsid w:val="00C15829"/>
    <w:rPr>
      <w:rFonts w:ascii="Times New Roman" w:eastAsiaTheme="minorEastAsia" w:hAnsi="Times New Roman" w:cs="Times New Roman"/>
      <w:sz w:val="18"/>
      <w:szCs w:val="20"/>
    </w:rPr>
  </w:style>
  <w:style w:type="paragraph" w:styleId="Textvysvetlivky">
    <w:name w:val="endnote text"/>
    <w:aliases w:val="2_G"/>
    <w:basedOn w:val="Textpoznmkypodiarou"/>
    <w:link w:val="TextvysvetlivkyChar"/>
    <w:rsid w:val="007268F9"/>
  </w:style>
  <w:style w:type="character" w:customStyle="1" w:styleId="TextvysvetlivkyChar">
    <w:name w:val="Text vysvetlivky Char"/>
    <w:aliases w:val="2_G Char"/>
    <w:basedOn w:val="Predvolenpsmoodseku"/>
    <w:link w:val="Textvysvetlivky"/>
    <w:rsid w:val="007268F9"/>
    <w:rPr>
      <w:rFonts w:ascii="Times New Roman" w:eastAsia="SimSun" w:hAnsi="Times New Roman" w:cs="Times New Roman"/>
      <w:sz w:val="18"/>
      <w:szCs w:val="20"/>
    </w:rPr>
  </w:style>
  <w:style w:type="character" w:styleId="Odkaznapoznmkupodiarou">
    <w:name w:val="footnote reference"/>
    <w:aliases w:val="4_G"/>
    <w:rsid w:val="00C15829"/>
    <w:rPr>
      <w:rFonts w:ascii="Times New Roman" w:hAnsi="Times New Roman"/>
      <w:sz w:val="18"/>
      <w:vertAlign w:val="superscript"/>
    </w:rPr>
  </w:style>
  <w:style w:type="character" w:customStyle="1" w:styleId="Nadpis1Char">
    <w:name w:val="Nadpis 1 Char"/>
    <w:aliases w:val="Table_G Char"/>
    <w:basedOn w:val="Predvolenpsmoodseku"/>
    <w:link w:val="Nadpis1"/>
    <w:semiHidden/>
    <w:rsid w:val="003B4550"/>
    <w:rPr>
      <w:rFonts w:ascii="Times New Roman" w:hAnsi="Times New Roman" w:cs="Times New Roman"/>
      <w:sz w:val="20"/>
      <w:szCs w:val="20"/>
    </w:rPr>
  </w:style>
  <w:style w:type="character" w:customStyle="1" w:styleId="Nadpis2Char">
    <w:name w:val="Nadpis 2 Char"/>
    <w:basedOn w:val="Predvolenpsmoodseku"/>
    <w:link w:val="Nadpis2"/>
    <w:semiHidden/>
    <w:rsid w:val="003B4550"/>
    <w:rPr>
      <w:rFonts w:ascii="Times New Roman" w:hAnsi="Times New Roman" w:cs="Times New Roman"/>
      <w:sz w:val="20"/>
      <w:szCs w:val="20"/>
    </w:rPr>
  </w:style>
  <w:style w:type="character" w:customStyle="1" w:styleId="Nadpis3Char">
    <w:name w:val="Nadpis 3 Char"/>
    <w:basedOn w:val="Predvolenpsmoodseku"/>
    <w:link w:val="Nadpis3"/>
    <w:semiHidden/>
    <w:rsid w:val="003B4550"/>
    <w:rPr>
      <w:rFonts w:ascii="Times New Roman" w:hAnsi="Times New Roman" w:cs="Times New Roman"/>
      <w:sz w:val="20"/>
      <w:szCs w:val="20"/>
    </w:rPr>
  </w:style>
  <w:style w:type="character" w:customStyle="1" w:styleId="Nadpis4Char">
    <w:name w:val="Nadpis 4 Char"/>
    <w:basedOn w:val="Predvolenpsmoodseku"/>
    <w:link w:val="Nadpis4"/>
    <w:semiHidden/>
    <w:rsid w:val="003B4550"/>
    <w:rPr>
      <w:rFonts w:ascii="Times New Roman" w:hAnsi="Times New Roman" w:cs="Times New Roman"/>
      <w:sz w:val="20"/>
      <w:szCs w:val="20"/>
    </w:rPr>
  </w:style>
  <w:style w:type="character" w:customStyle="1" w:styleId="Nadpis5Char">
    <w:name w:val="Nadpis 5 Char"/>
    <w:basedOn w:val="Predvolenpsmoodseku"/>
    <w:link w:val="Nadpis5"/>
    <w:semiHidden/>
    <w:rsid w:val="003B4550"/>
    <w:rPr>
      <w:rFonts w:ascii="Times New Roman" w:hAnsi="Times New Roman" w:cs="Times New Roman"/>
      <w:sz w:val="20"/>
      <w:szCs w:val="20"/>
    </w:rPr>
  </w:style>
  <w:style w:type="character" w:customStyle="1" w:styleId="Nadpis6Char">
    <w:name w:val="Nadpis 6 Char"/>
    <w:basedOn w:val="Predvolenpsmoodseku"/>
    <w:link w:val="Nadpis6"/>
    <w:semiHidden/>
    <w:rsid w:val="003B4550"/>
    <w:rPr>
      <w:rFonts w:ascii="Times New Roman" w:hAnsi="Times New Roman" w:cs="Times New Roman"/>
      <w:sz w:val="20"/>
      <w:szCs w:val="20"/>
    </w:rPr>
  </w:style>
  <w:style w:type="character" w:customStyle="1" w:styleId="Nadpis7Char">
    <w:name w:val="Nadpis 7 Char"/>
    <w:basedOn w:val="Predvolenpsmoodseku"/>
    <w:link w:val="Nadpis7"/>
    <w:semiHidden/>
    <w:rsid w:val="003B4550"/>
    <w:rPr>
      <w:rFonts w:ascii="Times New Roman" w:hAnsi="Times New Roman" w:cs="Times New Roman"/>
      <w:sz w:val="20"/>
      <w:szCs w:val="20"/>
    </w:rPr>
  </w:style>
  <w:style w:type="character" w:customStyle="1" w:styleId="Nadpis8Char">
    <w:name w:val="Nadpis 8 Char"/>
    <w:basedOn w:val="Predvolenpsmoodseku"/>
    <w:link w:val="Nadpis8"/>
    <w:semiHidden/>
    <w:rsid w:val="003B4550"/>
    <w:rPr>
      <w:rFonts w:ascii="Times New Roman" w:hAnsi="Times New Roman" w:cs="Times New Roman"/>
      <w:sz w:val="20"/>
      <w:szCs w:val="20"/>
    </w:rPr>
  </w:style>
  <w:style w:type="character" w:customStyle="1" w:styleId="Nadpis9Char">
    <w:name w:val="Nadpis 9 Char"/>
    <w:basedOn w:val="Predvolenpsmoodseku"/>
    <w:link w:val="Nadpis9"/>
    <w:semiHidden/>
    <w:rsid w:val="003B4550"/>
    <w:rPr>
      <w:rFonts w:ascii="Times New Roman" w:hAnsi="Times New Roman" w:cs="Times New Roman"/>
      <w:sz w:val="20"/>
      <w:szCs w:val="20"/>
    </w:rPr>
  </w:style>
  <w:style w:type="character" w:styleId="slostrany">
    <w:name w:val="page number"/>
    <w:aliases w:val="7_G"/>
    <w:semiHidden/>
    <w:rsid w:val="007268F9"/>
    <w:rPr>
      <w:rFonts w:ascii="Times New Roman" w:hAnsi="Times New Roman"/>
      <w:b/>
      <w:sz w:val="18"/>
    </w:rPr>
  </w:style>
  <w:style w:type="character" w:styleId="Nzovknihy">
    <w:name w:val="Book Title"/>
    <w:basedOn w:val="Predvolenpsmoodseku"/>
    <w:uiPriority w:val="33"/>
    <w:semiHidden/>
    <w:rsid w:val="007268F9"/>
    <w:rPr>
      <w:b/>
      <w:bCs/>
      <w:smallCaps/>
      <w:spacing w:val="5"/>
    </w:rPr>
  </w:style>
  <w:style w:type="table" w:styleId="Mriekatabuky">
    <w:name w:val="Table Grid"/>
    <w:basedOn w:val="Normlnatabuka"/>
    <w:rsid w:val="00C9007B"/>
    <w:pPr>
      <w:suppressAutoHyphens/>
      <w:spacing w:after="0" w:line="240" w:lineRule="atLeast"/>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C9007B"/>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9007B"/>
    <w:rPr>
      <w:rFonts w:ascii="Tahoma" w:hAnsi="Tahoma" w:cs="Tahoma"/>
      <w:sz w:val="16"/>
      <w:szCs w:val="16"/>
      <w:lang w:eastAsia="en-US"/>
    </w:rPr>
  </w:style>
  <w:style w:type="character" w:customStyle="1" w:styleId="SingleTxtGChar">
    <w:name w:val="_ Single Txt_G Char"/>
    <w:basedOn w:val="Predvolenpsmoodseku"/>
    <w:link w:val="SingleTxtG"/>
    <w:rsid w:val="006E4390"/>
    <w:rPr>
      <w:rFonts w:ascii="Times New Roman" w:hAnsi="Times New Roman" w:cs="Times New Roman"/>
      <w:sz w:val="20"/>
      <w:szCs w:val="20"/>
    </w:rPr>
  </w:style>
  <w:style w:type="character" w:styleId="Hypertextovprepojenie">
    <w:name w:val="Hyperlink"/>
    <w:basedOn w:val="Predvolenpsmoodseku"/>
    <w:uiPriority w:val="99"/>
    <w:unhideWhenUsed/>
    <w:rsid w:val="00DE77BE"/>
    <w:rPr>
      <w:color w:val="0000FF" w:themeColor="hyperlink"/>
      <w:u w:val="single"/>
    </w:rPr>
  </w:style>
  <w:style w:type="character" w:styleId="Odkaznakomentr">
    <w:name w:val="annotation reference"/>
    <w:basedOn w:val="Predvolenpsmoodseku"/>
    <w:uiPriority w:val="99"/>
    <w:semiHidden/>
    <w:unhideWhenUsed/>
    <w:rsid w:val="00F43DA1"/>
    <w:rPr>
      <w:sz w:val="16"/>
      <w:szCs w:val="16"/>
    </w:rPr>
  </w:style>
  <w:style w:type="paragraph" w:styleId="Textkomentra">
    <w:name w:val="annotation text"/>
    <w:basedOn w:val="Normlny"/>
    <w:link w:val="TextkomentraChar"/>
    <w:uiPriority w:val="99"/>
    <w:semiHidden/>
    <w:unhideWhenUsed/>
    <w:rsid w:val="00F43DA1"/>
    <w:pPr>
      <w:spacing w:line="240" w:lineRule="auto"/>
    </w:pPr>
  </w:style>
  <w:style w:type="character" w:customStyle="1" w:styleId="TextkomentraChar">
    <w:name w:val="Text komentára Char"/>
    <w:basedOn w:val="Predvolenpsmoodseku"/>
    <w:link w:val="Textkomentra"/>
    <w:uiPriority w:val="99"/>
    <w:semiHidden/>
    <w:rsid w:val="00F43DA1"/>
    <w:rPr>
      <w:rFonts w:ascii="Times New Roman" w:hAnsi="Times New Roman" w:cs="Times New Roman"/>
      <w:sz w:val="20"/>
      <w:szCs w:val="20"/>
      <w:lang w:eastAsia="en-US"/>
    </w:rPr>
  </w:style>
  <w:style w:type="paragraph" w:styleId="Predmetkomentra">
    <w:name w:val="annotation subject"/>
    <w:basedOn w:val="Textkomentra"/>
    <w:next w:val="Textkomentra"/>
    <w:link w:val="PredmetkomentraChar"/>
    <w:uiPriority w:val="99"/>
    <w:semiHidden/>
    <w:unhideWhenUsed/>
    <w:rsid w:val="00F43DA1"/>
    <w:rPr>
      <w:b/>
      <w:bCs/>
    </w:rPr>
  </w:style>
  <w:style w:type="character" w:customStyle="1" w:styleId="PredmetkomentraChar">
    <w:name w:val="Predmet komentára Char"/>
    <w:basedOn w:val="TextkomentraChar"/>
    <w:link w:val="Predmetkomentra"/>
    <w:uiPriority w:val="99"/>
    <w:semiHidden/>
    <w:rsid w:val="00F43DA1"/>
    <w:rPr>
      <w:rFonts w:ascii="Times New Roman" w:hAnsi="Times New Roman"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238553">
      <w:bodyDiv w:val="1"/>
      <w:marLeft w:val="0"/>
      <w:marRight w:val="0"/>
      <w:marTop w:val="0"/>
      <w:marBottom w:val="0"/>
      <w:divBdr>
        <w:top w:val="none" w:sz="0" w:space="0" w:color="auto"/>
        <w:left w:val="none" w:sz="0" w:space="0" w:color="auto"/>
        <w:bottom w:val="none" w:sz="0" w:space="0" w:color="auto"/>
        <w:right w:val="none" w:sz="0" w:space="0" w:color="auto"/>
      </w:divBdr>
    </w:div>
    <w:div w:id="703016151">
      <w:bodyDiv w:val="1"/>
      <w:marLeft w:val="0"/>
      <w:marRight w:val="0"/>
      <w:marTop w:val="0"/>
      <w:marBottom w:val="0"/>
      <w:divBdr>
        <w:top w:val="none" w:sz="0" w:space="0" w:color="auto"/>
        <w:left w:val="none" w:sz="0" w:space="0" w:color="auto"/>
        <w:bottom w:val="none" w:sz="0" w:space="0" w:color="auto"/>
        <w:right w:val="none" w:sz="0" w:space="0" w:color="auto"/>
      </w:divBdr>
    </w:div>
    <w:div w:id="932401556">
      <w:bodyDiv w:val="1"/>
      <w:marLeft w:val="0"/>
      <w:marRight w:val="0"/>
      <w:marTop w:val="0"/>
      <w:marBottom w:val="0"/>
      <w:divBdr>
        <w:top w:val="none" w:sz="0" w:space="0" w:color="auto"/>
        <w:left w:val="none" w:sz="0" w:space="0" w:color="auto"/>
        <w:bottom w:val="none" w:sz="0" w:space="0" w:color="auto"/>
        <w:right w:val="none" w:sz="0" w:space="0" w:color="auto"/>
      </w:divBdr>
    </w:div>
    <w:div w:id="1214318093">
      <w:bodyDiv w:val="1"/>
      <w:marLeft w:val="0"/>
      <w:marRight w:val="0"/>
      <w:marTop w:val="0"/>
      <w:marBottom w:val="0"/>
      <w:divBdr>
        <w:top w:val="none" w:sz="0" w:space="0" w:color="auto"/>
        <w:left w:val="none" w:sz="0" w:space="0" w:color="auto"/>
        <w:bottom w:val="none" w:sz="0" w:space="0" w:color="auto"/>
        <w:right w:val="none" w:sz="0" w:space="0" w:color="auto"/>
      </w:divBdr>
    </w:div>
    <w:div w:id="1270577469">
      <w:bodyDiv w:val="1"/>
      <w:marLeft w:val="0"/>
      <w:marRight w:val="0"/>
      <w:marTop w:val="0"/>
      <w:marBottom w:val="0"/>
      <w:divBdr>
        <w:top w:val="none" w:sz="0" w:space="0" w:color="auto"/>
        <w:left w:val="none" w:sz="0" w:space="0" w:color="auto"/>
        <w:bottom w:val="none" w:sz="0" w:space="0" w:color="auto"/>
        <w:right w:val="none" w:sz="0" w:space="0" w:color="auto"/>
      </w:divBdr>
    </w:div>
    <w:div w:id="1454905569">
      <w:bodyDiv w:val="1"/>
      <w:marLeft w:val="0"/>
      <w:marRight w:val="0"/>
      <w:marTop w:val="0"/>
      <w:marBottom w:val="0"/>
      <w:divBdr>
        <w:top w:val="none" w:sz="0" w:space="0" w:color="auto"/>
        <w:left w:val="none" w:sz="0" w:space="0" w:color="auto"/>
        <w:bottom w:val="none" w:sz="0" w:space="0" w:color="auto"/>
        <w:right w:val="none" w:sz="0" w:space="0" w:color="auto"/>
      </w:divBdr>
    </w:div>
    <w:div w:id="1464343627">
      <w:bodyDiv w:val="1"/>
      <w:marLeft w:val="0"/>
      <w:marRight w:val="0"/>
      <w:marTop w:val="0"/>
      <w:marBottom w:val="0"/>
      <w:divBdr>
        <w:top w:val="none" w:sz="0" w:space="0" w:color="auto"/>
        <w:left w:val="none" w:sz="0" w:space="0" w:color="auto"/>
        <w:bottom w:val="none" w:sz="0" w:space="0" w:color="auto"/>
        <w:right w:val="none" w:sz="0" w:space="0" w:color="auto"/>
      </w:divBdr>
    </w:div>
    <w:div w:id="1628580087">
      <w:bodyDiv w:val="1"/>
      <w:marLeft w:val="0"/>
      <w:marRight w:val="0"/>
      <w:marTop w:val="0"/>
      <w:marBottom w:val="0"/>
      <w:divBdr>
        <w:top w:val="none" w:sz="0" w:space="0" w:color="auto"/>
        <w:left w:val="none" w:sz="0" w:space="0" w:color="auto"/>
        <w:bottom w:val="none" w:sz="0" w:space="0" w:color="auto"/>
        <w:right w:val="none" w:sz="0" w:space="0" w:color="auto"/>
      </w:divBdr>
    </w:div>
    <w:div w:id="1783962117">
      <w:bodyDiv w:val="1"/>
      <w:marLeft w:val="0"/>
      <w:marRight w:val="0"/>
      <w:marTop w:val="0"/>
      <w:marBottom w:val="0"/>
      <w:divBdr>
        <w:top w:val="none" w:sz="0" w:space="0" w:color="auto"/>
        <w:left w:val="none" w:sz="0" w:space="0" w:color="auto"/>
        <w:bottom w:val="none" w:sz="0" w:space="0" w:color="auto"/>
        <w:right w:val="none" w:sz="0" w:space="0" w:color="auto"/>
      </w:divBdr>
    </w:div>
    <w:div w:id="1972394822">
      <w:bodyDiv w:val="1"/>
      <w:marLeft w:val="0"/>
      <w:marRight w:val="0"/>
      <w:marTop w:val="0"/>
      <w:marBottom w:val="0"/>
      <w:divBdr>
        <w:top w:val="none" w:sz="0" w:space="0" w:color="auto"/>
        <w:left w:val="none" w:sz="0" w:space="0" w:color="auto"/>
        <w:bottom w:val="none" w:sz="0" w:space="0" w:color="auto"/>
        <w:right w:val="none" w:sz="0" w:space="0" w:color="auto"/>
      </w:divBdr>
    </w:div>
    <w:div w:id="209277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G:\WORD\OFFICE2016\COVERPAGES\CRPD.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C0AD0E6-5BF8-48C0-8ABA-AD785562D615}">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07F667-D0F9-4C36-A3DA-8537468F7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CRPD</Template>
  <TotalTime>0</TotalTime>
  <Pages>20</Pages>
  <Words>11281</Words>
  <Characters>64307</Characters>
  <Application>Microsoft Office Word</Application>
  <DocSecurity>0</DocSecurity>
  <Lines>535</Lines>
  <Paragraphs>150</Paragraphs>
  <ScaleCrop>false</ScaleCrop>
  <HeadingPairs>
    <vt:vector size="6" baseType="variant">
      <vt:variant>
        <vt:lpstr>Názov</vt:lpstr>
      </vt:variant>
      <vt:variant>
        <vt:i4>1</vt:i4>
      </vt:variant>
      <vt:variant>
        <vt:lpstr>Title</vt:lpstr>
      </vt:variant>
      <vt:variant>
        <vt:i4>1</vt:i4>
      </vt:variant>
      <vt:variant>
        <vt:lpstr>Titre</vt:lpstr>
      </vt:variant>
      <vt:variant>
        <vt:i4>1</vt:i4>
      </vt:variant>
    </vt:vector>
  </HeadingPairs>
  <TitlesOfParts>
    <vt:vector size="3" baseType="lpstr">
      <vt:lpstr>1719008</vt:lpstr>
      <vt:lpstr>1719008</vt:lpstr>
      <vt:lpstr>1716989</vt:lpstr>
    </vt:vector>
  </TitlesOfParts>
  <Company>DCM</Company>
  <LinksUpToDate>false</LinksUpToDate>
  <CharactersWithSpaces>75438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1719008</dc:title>
  <dc:subject>CRPD/C/GC/5</dc:subject>
  <dc:creator>Maria Rosario GATMAYTAN</dc:creator>
  <cp:lastModifiedBy>Ján Gabura</cp:lastModifiedBy>
  <cp:revision>2</cp:revision>
  <cp:lastPrinted>2018-09-11T10:28:00Z</cp:lastPrinted>
  <dcterms:created xsi:type="dcterms:W3CDTF">2018-09-11T10:46:00Z</dcterms:created>
  <dcterms:modified xsi:type="dcterms:W3CDTF">2018-09-11T10:46:00Z</dcterms:modified>
</cp:coreProperties>
</file>